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4"/>
        <w:gridCol w:w="8363"/>
      </w:tblGrid>
      <w:tr w:rsidR="003C5C90" w:rsidRPr="00A5342F" w:rsidTr="00233AA2">
        <w:tc>
          <w:tcPr>
            <w:tcW w:w="1384" w:type="dxa"/>
            <w:vAlign w:val="center"/>
          </w:tcPr>
          <w:p w:rsidR="003C5C90" w:rsidRPr="00A5342F" w:rsidRDefault="00233AA2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5342F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363" w:type="dxa"/>
            <w:vAlign w:val="center"/>
          </w:tcPr>
          <w:p w:rsidR="00D05C28" w:rsidRDefault="00D05C28" w:rsidP="00D05C2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Ian Durston, SWLEP (ID)</w:t>
            </w:r>
          </w:p>
          <w:p w:rsidR="00DD2551" w:rsidRDefault="00D05C28" w:rsidP="007168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John Mortimer, SWLEP (Chair) (JM)</w:t>
            </w:r>
          </w:p>
          <w:p w:rsidR="007168CF" w:rsidRDefault="007168CF" w:rsidP="007168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Alison Edgar, Sales Coaching Solutions (AE)</w:t>
            </w:r>
          </w:p>
          <w:p w:rsidR="00931EEF" w:rsidRDefault="00B977E7" w:rsidP="00B977E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Tara Gillam, Business West (TG)</w:t>
            </w:r>
          </w:p>
          <w:p w:rsidR="009044C6" w:rsidRDefault="009044C6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Mirabelle Mack, Swindon Borough Council (MM)</w:t>
            </w:r>
          </w:p>
          <w:p w:rsidR="008903E3" w:rsidRDefault="008903E3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 Minnaar, SWLEP (</w:t>
            </w:r>
            <w:proofErr w:type="spellStart"/>
            <w:r>
              <w:rPr>
                <w:rFonts w:ascii="Arial" w:hAnsi="Arial" w:cs="Arial"/>
                <w:bCs/>
              </w:rPr>
              <w:t>JoM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:rsidR="008903E3" w:rsidRDefault="0092358E" w:rsidP="0092358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358E">
              <w:rPr>
                <w:rFonts w:ascii="Arial" w:hAnsi="Arial" w:cs="Arial"/>
                <w:bCs/>
              </w:rPr>
              <w:t>Rachel Finlay, TEN</w:t>
            </w:r>
          </w:p>
          <w:p w:rsidR="00303815" w:rsidRPr="00A5342F" w:rsidRDefault="00303815" w:rsidP="0092358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52DC9" w:rsidRPr="00A5342F" w:rsidTr="00233AA2">
        <w:tc>
          <w:tcPr>
            <w:tcW w:w="1384" w:type="dxa"/>
            <w:vAlign w:val="center"/>
          </w:tcPr>
          <w:p w:rsidR="00552DC9" w:rsidRPr="00A5342F" w:rsidRDefault="00552DC9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Guests</w:t>
            </w:r>
          </w:p>
        </w:tc>
        <w:tc>
          <w:tcPr>
            <w:tcW w:w="8363" w:type="dxa"/>
            <w:vAlign w:val="center"/>
          </w:tcPr>
          <w:p w:rsidR="009044C6" w:rsidRDefault="009044C6" w:rsidP="00F9747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C5C90" w:rsidRPr="00A5342F" w:rsidTr="00233AA2">
        <w:tc>
          <w:tcPr>
            <w:tcW w:w="1384" w:type="dxa"/>
            <w:vAlign w:val="center"/>
          </w:tcPr>
          <w:p w:rsidR="003C5C90" w:rsidRPr="00A5342F" w:rsidRDefault="00233AA2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8363" w:type="dxa"/>
            <w:vAlign w:val="center"/>
          </w:tcPr>
          <w:p w:rsidR="00303815" w:rsidRDefault="00303815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8903E3" w:rsidRDefault="008903E3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 De Jong, FSB</w:t>
            </w:r>
          </w:p>
          <w:p w:rsidR="008903E3" w:rsidRDefault="008903E3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 Martienssen, Wiltshire Council</w:t>
            </w:r>
          </w:p>
          <w:p w:rsidR="000F3A48" w:rsidRDefault="000F3A48" w:rsidP="000F3A4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Angela Hays, Wiltshire Council  </w:t>
            </w:r>
          </w:p>
          <w:p w:rsidR="000F3A48" w:rsidRDefault="000F3A48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Mandy Timbrell, Higher Futures (MT)</w:t>
            </w:r>
          </w:p>
          <w:p w:rsidR="0092358E" w:rsidRPr="00A5342F" w:rsidRDefault="0092358E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03BB7" w:rsidRPr="00A5342F" w:rsidTr="00233AA2">
        <w:tc>
          <w:tcPr>
            <w:tcW w:w="1384" w:type="dxa"/>
            <w:vAlign w:val="center"/>
          </w:tcPr>
          <w:p w:rsidR="00903BB7" w:rsidRPr="00A5342F" w:rsidRDefault="00903BB7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363" w:type="dxa"/>
            <w:vAlign w:val="center"/>
          </w:tcPr>
          <w:p w:rsidR="00903BB7" w:rsidRPr="00A5342F" w:rsidRDefault="0092358E" w:rsidP="004734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Wiltshire College, Chippenham</w:t>
            </w:r>
          </w:p>
        </w:tc>
      </w:tr>
    </w:tbl>
    <w:p w:rsidR="003C5C90" w:rsidRPr="00A5342F" w:rsidRDefault="003C5C90" w:rsidP="005831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56"/>
        <w:gridCol w:w="1275"/>
      </w:tblGrid>
      <w:tr w:rsidR="00C22539" w:rsidRPr="00A5342F" w:rsidTr="008B75D3">
        <w:tc>
          <w:tcPr>
            <w:tcW w:w="750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253881" w:rsidP="0058313C">
            <w:pPr>
              <w:spacing w:after="0" w:line="240" w:lineRule="auto"/>
              <w:ind w:left="-43" w:firstLine="43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253881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Narrative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5B7A93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</w:t>
            </w:r>
          </w:p>
        </w:tc>
      </w:tr>
      <w:tr w:rsidR="00DD2551" w:rsidRPr="00A5342F" w:rsidTr="00DD2551"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DD2551" w:rsidRDefault="00DD255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DD2551" w:rsidRDefault="00DD2551" w:rsidP="009C37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DD2551" w:rsidRPr="00A5342F" w:rsidRDefault="00DD255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D2551" w:rsidRPr="00A5342F" w:rsidTr="00DD2551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Default="00DD255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Default="00DD2551" w:rsidP="009C37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03815" w:rsidRPr="00DD2551" w:rsidRDefault="00303815" w:rsidP="009C37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delivered by John Mortimer (Chair)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Pr="00A5342F" w:rsidRDefault="00DD255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2539" w:rsidRPr="00A5342F" w:rsidTr="009C370F"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C5766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0D3960" w:rsidP="009C37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C370F">
              <w:rPr>
                <w:rFonts w:ascii="Arial" w:hAnsi="Arial" w:cs="Arial"/>
                <w:b/>
              </w:rPr>
              <w:t>inutes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A32D49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C370F" w:rsidRPr="00A5342F" w:rsidTr="009C370F">
        <w:tc>
          <w:tcPr>
            <w:tcW w:w="750" w:type="dxa"/>
            <w:shd w:val="clear" w:color="auto" w:fill="FFFFFF" w:themeFill="background1"/>
          </w:tcPr>
          <w:p w:rsidR="009C370F" w:rsidRPr="00A5342F" w:rsidRDefault="009C370F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shd w:val="clear" w:color="auto" w:fill="FFFFFF" w:themeFill="background1"/>
          </w:tcPr>
          <w:p w:rsidR="00303815" w:rsidRDefault="00303815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C7C88" w:rsidRDefault="006F5368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52DC9">
              <w:rPr>
                <w:rFonts w:ascii="Arial" w:hAnsi="Arial" w:cs="Arial"/>
              </w:rPr>
              <w:t>minute</w:t>
            </w:r>
            <w:r w:rsidR="00AE1993">
              <w:rPr>
                <w:rFonts w:ascii="Arial" w:hAnsi="Arial" w:cs="Arial"/>
              </w:rPr>
              <w:t>s</w:t>
            </w:r>
            <w:r w:rsidR="00552DC9">
              <w:rPr>
                <w:rFonts w:ascii="Arial" w:hAnsi="Arial" w:cs="Arial"/>
              </w:rPr>
              <w:t xml:space="preserve"> w</w:t>
            </w:r>
            <w:r w:rsidR="00AE1993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approved</w:t>
            </w:r>
            <w:r w:rsidR="00444D1E">
              <w:rPr>
                <w:rFonts w:ascii="Arial" w:hAnsi="Arial" w:cs="Arial"/>
              </w:rPr>
              <w:t>.</w:t>
            </w:r>
          </w:p>
          <w:p w:rsidR="005E478C" w:rsidRPr="009C370F" w:rsidRDefault="005E478C" w:rsidP="005B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F0C" w:rsidRPr="001343EE" w:rsidRDefault="003C4F0C" w:rsidP="008766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5261" w:rsidRPr="00A5342F" w:rsidTr="008B75D3">
        <w:tc>
          <w:tcPr>
            <w:tcW w:w="750" w:type="dxa"/>
            <w:shd w:val="clear" w:color="auto" w:fill="D9D9D9"/>
          </w:tcPr>
          <w:p w:rsidR="003E5261" w:rsidRPr="00A5342F" w:rsidRDefault="00C576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56" w:type="dxa"/>
            <w:shd w:val="clear" w:color="auto" w:fill="D9D9D9"/>
          </w:tcPr>
          <w:p w:rsidR="003E5261" w:rsidRPr="00A5342F" w:rsidRDefault="008520B0" w:rsidP="00E31C6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Outstanding </w:t>
            </w:r>
            <w:r w:rsidR="006E6A14">
              <w:rPr>
                <w:rFonts w:ascii="Arial" w:hAnsi="Arial" w:cs="Arial"/>
                <w:b/>
              </w:rPr>
              <w:t>Matters Arising</w:t>
            </w:r>
          </w:p>
        </w:tc>
        <w:tc>
          <w:tcPr>
            <w:tcW w:w="1275" w:type="dxa"/>
            <w:shd w:val="clear" w:color="auto" w:fill="D9D9D9"/>
          </w:tcPr>
          <w:p w:rsidR="003E5261" w:rsidRPr="00A5342F" w:rsidRDefault="003E52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526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3E5261" w:rsidRPr="00A5342F" w:rsidRDefault="003E52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492E37" w:rsidRDefault="00492E37" w:rsidP="000763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84DCC" w:rsidRPr="004659E5" w:rsidRDefault="00E84DCC" w:rsidP="00076373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:rsidR="00E84DCC" w:rsidRPr="004659E5" w:rsidRDefault="00E84DCC" w:rsidP="000763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59226C" w:rsidRDefault="00F469C4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469C4">
              <w:rPr>
                <w:rFonts w:ascii="Arial" w:hAnsi="Arial" w:cs="Arial"/>
                <w:b/>
                <w:color w:val="000000" w:themeColor="text1"/>
              </w:rPr>
              <w:t xml:space="preserve">TEN Triage support </w:t>
            </w:r>
            <w:r w:rsidR="00EE7F8A">
              <w:rPr>
                <w:rFonts w:ascii="Arial" w:hAnsi="Arial" w:cs="Arial"/>
                <w:b/>
                <w:color w:val="000000" w:themeColor="text1"/>
              </w:rPr>
              <w:t xml:space="preserve"> - </w:t>
            </w:r>
            <w:r w:rsidRPr="00F469C4">
              <w:rPr>
                <w:rFonts w:ascii="Arial" w:hAnsi="Arial" w:cs="Arial"/>
                <w:b/>
                <w:color w:val="000000" w:themeColor="text1"/>
              </w:rPr>
              <w:t>KPIs</w:t>
            </w:r>
          </w:p>
          <w:p w:rsidR="006D2053" w:rsidRPr="0059226C" w:rsidRDefault="0059226C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59226C">
              <w:rPr>
                <w:rFonts w:ascii="Arial" w:hAnsi="Arial" w:cs="Arial"/>
                <w:color w:val="000000" w:themeColor="text1"/>
              </w:rPr>
              <w:t>Obtain client engagement stats from TEN Team, Telephone call</w:t>
            </w:r>
            <w:r>
              <w:rPr>
                <w:rFonts w:ascii="Arial" w:hAnsi="Arial" w:cs="Arial"/>
                <w:color w:val="000000" w:themeColor="text1"/>
              </w:rPr>
              <w:t>s/emails/nature of enquiries</w:t>
            </w:r>
            <w:r w:rsidRPr="0059226C">
              <w:rPr>
                <w:rFonts w:ascii="Arial" w:hAnsi="Arial" w:cs="Arial"/>
                <w:color w:val="000000" w:themeColor="text1"/>
              </w:rPr>
              <w:t>. Prepare</w:t>
            </w:r>
            <w:r>
              <w:rPr>
                <w:rFonts w:ascii="Arial" w:hAnsi="Arial" w:cs="Arial"/>
                <w:color w:val="000000" w:themeColor="text1"/>
              </w:rPr>
              <w:t xml:space="preserve"> 6 month</w:t>
            </w:r>
            <w:r w:rsidRPr="0059226C">
              <w:rPr>
                <w:rFonts w:ascii="Arial" w:hAnsi="Arial" w:cs="Arial"/>
                <w:color w:val="000000" w:themeColor="text1"/>
              </w:rPr>
              <w:t xml:space="preserve"> report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="000E2200">
              <w:rPr>
                <w:rFonts w:ascii="Arial" w:hAnsi="Arial" w:cs="Arial"/>
                <w:color w:val="000000" w:themeColor="text1"/>
              </w:rPr>
              <w:t>Qtr.</w:t>
            </w:r>
            <w:r>
              <w:rPr>
                <w:rFonts w:ascii="Arial" w:hAnsi="Arial" w:cs="Arial"/>
                <w:color w:val="000000" w:themeColor="text1"/>
              </w:rPr>
              <w:t xml:space="preserve"> 3 and 4)</w:t>
            </w:r>
            <w:r w:rsidRPr="0059226C">
              <w:rPr>
                <w:rFonts w:ascii="Arial" w:hAnsi="Arial" w:cs="Arial"/>
                <w:color w:val="000000" w:themeColor="text1"/>
              </w:rPr>
              <w:t xml:space="preserve"> for next Governance Group meeting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(Action: RF to liaise with AH)</w:t>
            </w:r>
            <w:r w:rsidR="001377D7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59226C" w:rsidRPr="00076373" w:rsidRDefault="0059226C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76373" w:rsidRDefault="00076373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076373">
              <w:rPr>
                <w:rFonts w:ascii="Arial" w:hAnsi="Arial" w:cs="Arial"/>
                <w:color w:val="000000" w:themeColor="text1"/>
              </w:rPr>
              <w:t xml:space="preserve">More case studies </w:t>
            </w:r>
            <w:r w:rsidR="00303815">
              <w:rPr>
                <w:rFonts w:ascii="Arial" w:hAnsi="Arial" w:cs="Arial"/>
                <w:color w:val="000000" w:themeColor="text1"/>
              </w:rPr>
              <w:t>needed on site</w:t>
            </w:r>
            <w:r w:rsidR="000E2200" w:rsidRPr="00076373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076373">
              <w:rPr>
                <w:rFonts w:ascii="Arial" w:hAnsi="Arial" w:cs="Arial"/>
                <w:b/>
                <w:color w:val="000000" w:themeColor="text1"/>
              </w:rPr>
              <w:t xml:space="preserve">Action: </w:t>
            </w:r>
            <w:proofErr w:type="spellStart"/>
            <w:r w:rsidRPr="00076373">
              <w:rPr>
                <w:rFonts w:ascii="Arial" w:hAnsi="Arial" w:cs="Arial"/>
                <w:b/>
                <w:color w:val="000000" w:themeColor="text1"/>
              </w:rPr>
              <w:t>JoM</w:t>
            </w:r>
            <w:proofErr w:type="spellEnd"/>
            <w:r w:rsidRPr="00076373">
              <w:rPr>
                <w:rFonts w:ascii="Arial" w:hAnsi="Arial" w:cs="Arial"/>
                <w:b/>
                <w:color w:val="000000" w:themeColor="text1"/>
              </w:rPr>
              <w:t xml:space="preserve"> to chase ERDF delivery Managers)</w:t>
            </w:r>
            <w:r w:rsidR="001377D7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076373" w:rsidRDefault="00076373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76373" w:rsidRDefault="000E2200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076373">
              <w:rPr>
                <w:rFonts w:ascii="Arial" w:hAnsi="Arial" w:cs="Arial"/>
                <w:color w:val="000000" w:themeColor="text1"/>
              </w:rPr>
              <w:t>Marketing Plan and video produ</w:t>
            </w:r>
            <w:r>
              <w:rPr>
                <w:rFonts w:ascii="Arial" w:hAnsi="Arial" w:cs="Arial"/>
                <w:color w:val="000000" w:themeColor="text1"/>
              </w:rPr>
              <w:t>ced by Inspire</w:t>
            </w:r>
            <w:r w:rsidRPr="00076373">
              <w:rPr>
                <w:rFonts w:ascii="Arial" w:hAnsi="Arial" w:cs="Arial"/>
                <w:color w:val="000000" w:themeColor="text1"/>
              </w:rPr>
              <w:t xml:space="preserve"> need to be </w:t>
            </w:r>
            <w:proofErr w:type="gramStart"/>
            <w:r w:rsidRPr="00076373">
              <w:rPr>
                <w:rFonts w:ascii="Arial" w:hAnsi="Arial" w:cs="Arial"/>
                <w:color w:val="000000" w:themeColor="text1"/>
              </w:rPr>
              <w:t>revisit</w:t>
            </w:r>
            <w:r>
              <w:rPr>
                <w:rFonts w:ascii="Arial" w:hAnsi="Arial" w:cs="Arial"/>
                <w:color w:val="000000" w:themeColor="text1"/>
              </w:rPr>
              <w:t>ed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</w:rPr>
              <w:t xml:space="preserve"> (Action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JoM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to obtain copies).</w:t>
            </w:r>
          </w:p>
          <w:p w:rsidR="00076373" w:rsidRDefault="00076373" w:rsidP="000763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076373" w:rsidRPr="00076373" w:rsidRDefault="00076373" w:rsidP="0007637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50E90" w:rsidRDefault="00050E90" w:rsidP="000763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21CA6" w:rsidRPr="00902E8B" w:rsidRDefault="00321CA6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3330" w:rsidRDefault="00123330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5C3B" w:rsidRDefault="00BD5C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5C3B" w:rsidRDefault="00BD5C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5C3B" w:rsidRDefault="00BD5C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5C3B" w:rsidRDefault="0059226C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Feb</w:t>
            </w:r>
          </w:p>
          <w:p w:rsidR="00BD5C3B" w:rsidRDefault="00BD5C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Pr="002B4C27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Feb</w:t>
            </w: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6D2053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2A6B58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6B58">
              <w:rPr>
                <w:rFonts w:ascii="Arial" w:hAnsi="Arial" w:cs="Arial"/>
                <w:b/>
              </w:rPr>
              <w:t xml:space="preserve">Growth Hub </w:t>
            </w:r>
            <w:r w:rsidR="008C4C96">
              <w:rPr>
                <w:rFonts w:ascii="Arial" w:hAnsi="Arial" w:cs="Arial"/>
                <w:b/>
              </w:rPr>
              <w:t xml:space="preserve">Portal </w:t>
            </w:r>
            <w:r w:rsidRPr="002A6B58">
              <w:rPr>
                <w:rFonts w:ascii="Arial" w:hAnsi="Arial" w:cs="Arial"/>
                <w:b/>
              </w:rPr>
              <w:t>– Update and next steps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JoM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377D7" w:rsidRDefault="001377D7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4C96" w:rsidRPr="00CB424D" w:rsidRDefault="00CB424D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424D">
              <w:rPr>
                <w:rFonts w:ascii="Arial" w:hAnsi="Arial" w:cs="Arial"/>
              </w:rPr>
              <w:t>Platform integration update on Higher Futures/SWLEP/Growth given, the question was raised over the decision by TEN not integrate</w:t>
            </w:r>
            <w:r>
              <w:rPr>
                <w:rFonts w:ascii="Arial" w:hAnsi="Arial" w:cs="Arial"/>
              </w:rPr>
              <w:t xml:space="preserve"> but to go with an alternative provider to save on cost.  </w:t>
            </w:r>
            <w:r w:rsidR="009467D3">
              <w:rPr>
                <w:rFonts w:ascii="Arial" w:hAnsi="Arial" w:cs="Arial"/>
              </w:rPr>
              <w:t>Action Rachel F to supply cost figures.</w:t>
            </w:r>
          </w:p>
          <w:p w:rsidR="00CB424D" w:rsidRDefault="00CB424D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377D7" w:rsidRDefault="001377D7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4C96" w:rsidRDefault="001377D7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Use to date of the platform has been good.  A </w:t>
            </w:r>
            <w:r w:rsidR="005E691F" w:rsidRPr="005E691F">
              <w:rPr>
                <w:rFonts w:ascii="Arial" w:hAnsi="Arial" w:cs="Arial"/>
              </w:rPr>
              <w:t xml:space="preserve"> KPI dashboard report to include range of time spent on portal and return visitors</w:t>
            </w:r>
            <w:r>
              <w:rPr>
                <w:rFonts w:ascii="Arial" w:hAnsi="Arial" w:cs="Arial"/>
              </w:rPr>
              <w:t xml:space="preserve"> required</w:t>
            </w:r>
            <w:r w:rsidR="005E691F" w:rsidRPr="005E691F">
              <w:rPr>
                <w:rFonts w:ascii="Arial" w:hAnsi="Arial" w:cs="Arial"/>
              </w:rPr>
              <w:t xml:space="preserve"> as a regular presentation</w:t>
            </w:r>
            <w:r>
              <w:rPr>
                <w:rFonts w:ascii="Arial" w:hAnsi="Arial" w:cs="Arial"/>
              </w:rPr>
              <w:t xml:space="preserve"> </w:t>
            </w:r>
            <w:r w:rsidR="000E2200">
              <w:rPr>
                <w:rFonts w:ascii="Arial" w:hAnsi="Arial" w:cs="Arial"/>
              </w:rPr>
              <w:t xml:space="preserve">slot </w:t>
            </w:r>
            <w:r w:rsidR="000E2200" w:rsidRPr="005E691F">
              <w:rPr>
                <w:rFonts w:ascii="Arial" w:hAnsi="Arial" w:cs="Arial"/>
              </w:rPr>
              <w:t>at</w:t>
            </w:r>
            <w:r w:rsidR="005E691F" w:rsidRPr="005E691F">
              <w:rPr>
                <w:rFonts w:ascii="Arial" w:hAnsi="Arial" w:cs="Arial"/>
              </w:rPr>
              <w:t xml:space="preserve"> future Governance meetings</w:t>
            </w:r>
            <w:r w:rsidR="005E691F">
              <w:rPr>
                <w:rFonts w:ascii="Arial" w:hAnsi="Arial" w:cs="Arial"/>
                <w:b/>
              </w:rPr>
              <w:t xml:space="preserve"> (Action </w:t>
            </w:r>
            <w:proofErr w:type="spellStart"/>
            <w:r w:rsidR="005E691F">
              <w:rPr>
                <w:rFonts w:ascii="Arial" w:hAnsi="Arial" w:cs="Arial"/>
                <w:b/>
              </w:rPr>
              <w:t>JoM</w:t>
            </w:r>
            <w:proofErr w:type="spellEnd"/>
            <w:r w:rsidR="005E691F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</w:p>
          <w:p w:rsidR="008C4C96" w:rsidRPr="00F50453" w:rsidRDefault="008C4C96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4C96" w:rsidRDefault="00F50453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50453">
              <w:rPr>
                <w:rFonts w:ascii="Arial" w:hAnsi="Arial" w:cs="Arial"/>
              </w:rPr>
              <w:t xml:space="preserve">Minutes to be published on </w:t>
            </w:r>
            <w:r w:rsidR="0082502F">
              <w:rPr>
                <w:rFonts w:ascii="Arial" w:hAnsi="Arial" w:cs="Arial"/>
              </w:rPr>
              <w:t xml:space="preserve">LEP </w:t>
            </w:r>
            <w:r w:rsidRPr="00F50453">
              <w:rPr>
                <w:rFonts w:ascii="Arial" w:hAnsi="Arial" w:cs="Arial"/>
              </w:rPr>
              <w:t>website to improve transparency</w:t>
            </w:r>
            <w:r>
              <w:rPr>
                <w:rFonts w:ascii="Arial" w:hAnsi="Arial" w:cs="Arial"/>
                <w:b/>
              </w:rPr>
              <w:t xml:space="preserve"> (Action </w:t>
            </w:r>
            <w:proofErr w:type="spellStart"/>
            <w:r>
              <w:rPr>
                <w:rFonts w:ascii="Arial" w:hAnsi="Arial" w:cs="Arial"/>
                <w:b/>
              </w:rPr>
              <w:t>JoM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1377D7" w:rsidRPr="00852983" w:rsidRDefault="001377D7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4C96" w:rsidRDefault="00015A54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54B14">
              <w:rPr>
                <w:rFonts w:ascii="Arial" w:hAnsi="Arial" w:cs="Arial"/>
              </w:rPr>
              <w:t>Highlighted that new EU data protection GDPR rules coming into force in May 2018, may affect registered user numbers/</w:t>
            </w:r>
            <w:r w:rsidR="00954B14" w:rsidRPr="00954B14">
              <w:rPr>
                <w:rFonts w:ascii="Arial" w:hAnsi="Arial" w:cs="Arial"/>
              </w:rPr>
              <w:t xml:space="preserve">contacts held on CRM system i.e. they could drop substantially.  Group felt that </w:t>
            </w:r>
            <w:r w:rsidR="000E2200" w:rsidRPr="00954B14">
              <w:rPr>
                <w:rFonts w:ascii="Arial" w:hAnsi="Arial" w:cs="Arial"/>
              </w:rPr>
              <w:t>it’s</w:t>
            </w:r>
            <w:r w:rsidR="00954B14" w:rsidRPr="00954B14">
              <w:rPr>
                <w:rFonts w:ascii="Arial" w:hAnsi="Arial" w:cs="Arial"/>
              </w:rPr>
              <w:t xml:space="preserve"> better to have committed/prospect quality businesses on the Growth Hub database than incorrect contact data.</w:t>
            </w:r>
          </w:p>
          <w:p w:rsidR="000E2200" w:rsidRDefault="000E2200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2200" w:rsidRDefault="000E2200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Diagnostic solutions to engage users to be explored </w:t>
            </w:r>
            <w:r w:rsidRPr="000E2200">
              <w:rPr>
                <w:rFonts w:ascii="Arial" w:hAnsi="Arial" w:cs="Arial"/>
                <w:b/>
              </w:rPr>
              <w:t>(Action Jo M)</w:t>
            </w:r>
          </w:p>
          <w:p w:rsidR="004826DF" w:rsidRDefault="004826D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Pr="001377D7" w:rsidRDefault="004826DF" w:rsidP="004826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377D7">
              <w:rPr>
                <w:rFonts w:ascii="Arial" w:hAnsi="Arial" w:cs="Arial"/>
              </w:rPr>
              <w:t>2018 and  2018/2019 marketing plan needed</w:t>
            </w:r>
            <w:r>
              <w:rPr>
                <w:rFonts w:ascii="Arial" w:hAnsi="Arial" w:cs="Arial"/>
              </w:rPr>
              <w:t xml:space="preserve"> to be circulated asap</w:t>
            </w:r>
            <w:r w:rsidRPr="001377D7">
              <w:rPr>
                <w:rFonts w:ascii="Arial" w:hAnsi="Arial" w:cs="Arial"/>
              </w:rPr>
              <w:t xml:space="preserve"> </w:t>
            </w:r>
            <w:r w:rsidRPr="001377D7">
              <w:rPr>
                <w:rFonts w:ascii="Arial" w:hAnsi="Arial" w:cs="Arial"/>
                <w:b/>
              </w:rPr>
              <w:t xml:space="preserve">(Action </w:t>
            </w:r>
            <w:proofErr w:type="spellStart"/>
            <w:r w:rsidRPr="001377D7">
              <w:rPr>
                <w:rFonts w:ascii="Arial" w:hAnsi="Arial" w:cs="Arial"/>
                <w:b/>
              </w:rPr>
              <w:t>JoM</w:t>
            </w:r>
            <w:proofErr w:type="spellEnd"/>
            <w:r w:rsidRPr="001377D7">
              <w:rPr>
                <w:rFonts w:ascii="Arial" w:hAnsi="Arial" w:cs="Arial"/>
                <w:b/>
              </w:rPr>
              <w:t xml:space="preserve"> to discuss with SWLEP Marketing Manager – </w:t>
            </w:r>
          </w:p>
          <w:p w:rsidR="004826DF" w:rsidRPr="00954B14" w:rsidRDefault="004826D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4C96" w:rsidRPr="006028C4" w:rsidRDefault="009467D3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28C4">
              <w:rPr>
                <w:rFonts w:ascii="Arial" w:hAnsi="Arial" w:cs="Arial"/>
              </w:rPr>
              <w:t xml:space="preserve">Some discussion held </w:t>
            </w:r>
            <w:r>
              <w:rPr>
                <w:rFonts w:ascii="Arial" w:hAnsi="Arial" w:cs="Arial"/>
              </w:rPr>
              <w:t>on fact that live chat on website would be beneficial at some point.</w:t>
            </w:r>
          </w:p>
          <w:p w:rsidR="008C4C96" w:rsidRPr="002A6B58" w:rsidRDefault="008C4C96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2200" w:rsidRDefault="000E2200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Feb</w:t>
            </w:r>
          </w:p>
          <w:p w:rsidR="000E2200" w:rsidRDefault="000E2200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Feb</w:t>
            </w: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2A6B58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6B58">
              <w:rPr>
                <w:rFonts w:ascii="Arial" w:hAnsi="Arial" w:cs="Arial"/>
                <w:b/>
              </w:rPr>
              <w:t>Growth Hub Model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52983" w:rsidRDefault="00852983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69C4" w:rsidRDefault="000C61F1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C61F1">
              <w:rPr>
                <w:rFonts w:ascii="Arial" w:hAnsi="Arial" w:cs="Arial"/>
                <w:color w:val="000000" w:themeColor="text1"/>
              </w:rPr>
              <w:t xml:space="preserve">Ian Durston presented paper 1.1.on </w:t>
            </w:r>
            <w:r w:rsidR="00EE7F8A" w:rsidRPr="000C61F1">
              <w:rPr>
                <w:rFonts w:ascii="Arial" w:hAnsi="Arial" w:cs="Arial"/>
                <w:color w:val="000000" w:themeColor="text1"/>
              </w:rPr>
              <w:t xml:space="preserve">how </w:t>
            </w:r>
            <w:r w:rsidRPr="000C61F1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EE7F8A" w:rsidRPr="000C61F1">
              <w:rPr>
                <w:rFonts w:ascii="Arial" w:hAnsi="Arial" w:cs="Arial"/>
                <w:color w:val="000000" w:themeColor="text1"/>
              </w:rPr>
              <w:t>Growth Hub model covers provision from pre-start to businesses needing face to face support, but less than the 12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E7F8A" w:rsidRPr="000C61F1">
              <w:rPr>
                <w:rFonts w:ascii="Arial" w:hAnsi="Arial" w:cs="Arial"/>
                <w:color w:val="000000" w:themeColor="text1"/>
              </w:rPr>
              <w:t>hours through SME Growth.</w:t>
            </w:r>
            <w:r w:rsidRPr="000C61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CB424D" w:rsidRDefault="00CB424D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CB424D" w:rsidRDefault="00CB424D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B424D">
              <w:rPr>
                <w:rFonts w:ascii="Arial" w:hAnsi="Arial" w:cs="Arial"/>
                <w:color w:val="000000" w:themeColor="text1"/>
              </w:rPr>
              <w:t xml:space="preserve">Noted </w:t>
            </w:r>
            <w:r>
              <w:rPr>
                <w:rFonts w:ascii="Arial" w:hAnsi="Arial" w:cs="Arial"/>
                <w:color w:val="000000" w:themeColor="text1"/>
              </w:rPr>
              <w:t xml:space="preserve">by the group </w:t>
            </w:r>
            <w:r w:rsidRPr="00CB424D">
              <w:rPr>
                <w:rFonts w:ascii="Arial" w:hAnsi="Arial" w:cs="Arial"/>
                <w:color w:val="000000" w:themeColor="text1"/>
              </w:rPr>
              <w:t>that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CB424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B424D" w:rsidRPr="00DA2197" w:rsidRDefault="00CB424D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A2197">
              <w:rPr>
                <w:rFonts w:ascii="Arial" w:hAnsi="Arial" w:cs="Arial"/>
                <w:color w:val="000000" w:themeColor="text1"/>
              </w:rPr>
              <w:t xml:space="preserve">The Pop-up Business </w:t>
            </w:r>
            <w:r w:rsidR="000E2200" w:rsidRPr="00DA2197">
              <w:rPr>
                <w:rFonts w:ascii="Arial" w:hAnsi="Arial" w:cs="Arial"/>
                <w:color w:val="000000" w:themeColor="text1"/>
              </w:rPr>
              <w:t>School</w:t>
            </w:r>
            <w:r w:rsidRPr="00DA2197">
              <w:rPr>
                <w:rFonts w:ascii="Arial" w:hAnsi="Arial" w:cs="Arial"/>
                <w:color w:val="000000" w:themeColor="text1"/>
              </w:rPr>
              <w:t xml:space="preserve"> is starting soon to support pre-starts who are still at an ‘exploratory’ stage.</w:t>
            </w:r>
          </w:p>
          <w:p w:rsidR="00DA2197" w:rsidRP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A2197">
              <w:rPr>
                <w:rFonts w:ascii="Arial" w:hAnsi="Arial" w:cs="Arial"/>
                <w:color w:val="000000" w:themeColor="text1"/>
              </w:rPr>
              <w:t xml:space="preserve">Enterprise Allowance is also plugging the gap when people cannot attend the Pop-Up Business </w:t>
            </w:r>
            <w:r w:rsidR="000E2200" w:rsidRPr="00DA2197">
              <w:rPr>
                <w:rFonts w:ascii="Arial" w:hAnsi="Arial" w:cs="Arial"/>
                <w:color w:val="000000" w:themeColor="text1"/>
              </w:rPr>
              <w:t>School</w:t>
            </w:r>
            <w:r w:rsidRPr="00DA2197">
              <w:rPr>
                <w:rFonts w:ascii="Arial" w:hAnsi="Arial" w:cs="Arial"/>
                <w:color w:val="000000" w:themeColor="text1"/>
              </w:rPr>
              <w:t>.</w:t>
            </w:r>
          </w:p>
          <w:p w:rsidR="00CB424D" w:rsidRPr="00DA2197" w:rsidRDefault="00CB424D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A2197">
              <w:rPr>
                <w:rFonts w:ascii="Arial" w:hAnsi="Arial" w:cs="Arial"/>
                <w:color w:val="000000" w:themeColor="text1"/>
              </w:rPr>
              <w:t>50% of people coming through Business West workshops are not eligible for ERDF funding (SME Growth).</w:t>
            </w:r>
          </w:p>
          <w:p w:rsidR="00DA2197" w:rsidRP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A2197">
              <w:rPr>
                <w:rFonts w:ascii="Arial" w:hAnsi="Arial" w:cs="Arial"/>
                <w:color w:val="000000" w:themeColor="text1"/>
              </w:rPr>
              <w:t>Business support landscape i</w:t>
            </w:r>
            <w:r w:rsidR="00303815">
              <w:rPr>
                <w:rFonts w:ascii="Arial" w:hAnsi="Arial" w:cs="Arial"/>
                <w:color w:val="000000" w:themeColor="text1"/>
              </w:rPr>
              <w:t>s already complex and clarity is</w:t>
            </w:r>
            <w:r w:rsidRPr="00DA2197">
              <w:rPr>
                <w:rFonts w:ascii="Arial" w:hAnsi="Arial" w:cs="Arial"/>
                <w:color w:val="000000" w:themeColor="text1"/>
              </w:rPr>
              <w:t xml:space="preserve"> needed</w:t>
            </w:r>
          </w:p>
          <w:p w:rsidR="00DA2197" w:rsidRP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A2197">
              <w:rPr>
                <w:rFonts w:ascii="Arial" w:hAnsi="Arial" w:cs="Arial"/>
                <w:color w:val="000000" w:themeColor="text1"/>
              </w:rPr>
              <w:t>Growth Hub/Service Delivery Partners connection is not clear.</w:t>
            </w:r>
          </w:p>
          <w:p w:rsid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A2197">
              <w:rPr>
                <w:rFonts w:ascii="Arial" w:hAnsi="Arial" w:cs="Arial"/>
                <w:color w:val="000000" w:themeColor="text1"/>
              </w:rPr>
              <w:t>Unclear on what budget available p</w:t>
            </w:r>
            <w:r w:rsidR="00303815">
              <w:rPr>
                <w:rFonts w:ascii="Arial" w:hAnsi="Arial" w:cs="Arial"/>
                <w:color w:val="000000" w:themeColor="text1"/>
              </w:rPr>
              <w:t>ost March 2018, this will impact</w:t>
            </w:r>
            <w:r w:rsidRPr="00DA2197">
              <w:rPr>
                <w:rFonts w:ascii="Arial" w:hAnsi="Arial" w:cs="Arial"/>
                <w:color w:val="000000" w:themeColor="text1"/>
              </w:rPr>
              <w:t xml:space="preserve"> arrangements with delivery partners i.e. referrals.</w:t>
            </w:r>
          </w:p>
          <w:p w:rsid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Partner MOUs need to report back on how enquiries are dealt with i.e. service user journey.</w:t>
            </w:r>
            <w:r w:rsidR="0020007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0007E" w:rsidRPr="0020007E">
              <w:rPr>
                <w:rFonts w:ascii="Arial" w:hAnsi="Arial" w:cs="Arial"/>
                <w:b/>
                <w:color w:val="000000" w:themeColor="text1"/>
              </w:rPr>
              <w:t>(Jo M to action)</w:t>
            </w:r>
          </w:p>
          <w:p w:rsid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Role for an admin person to support Manager to handle phone/triage/content </w:t>
            </w:r>
            <w:r w:rsidR="000E2200">
              <w:rPr>
                <w:rFonts w:ascii="Arial" w:hAnsi="Arial" w:cs="Arial"/>
                <w:color w:val="000000" w:themeColor="text1"/>
              </w:rPr>
              <w:t>etc.</w:t>
            </w:r>
            <w:r>
              <w:rPr>
                <w:rFonts w:ascii="Arial" w:hAnsi="Arial" w:cs="Arial"/>
                <w:color w:val="000000" w:themeColor="text1"/>
              </w:rPr>
              <w:t xml:space="preserve"> needed.</w:t>
            </w:r>
          </w:p>
          <w:p w:rsidR="00DA2197" w:rsidRPr="00DA2197" w:rsidRDefault="00DA2197" w:rsidP="00DA219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Growth Hub ‘signposts out’, people return with further enquiries.</w:t>
            </w:r>
          </w:p>
          <w:p w:rsidR="00CB424D" w:rsidRDefault="00CB424D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B424D" w:rsidRPr="00CB424D" w:rsidRDefault="00DA219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Paper is an interim response until more clarity on Growth Hub future.  </w:t>
            </w:r>
            <w:r w:rsidR="00CB424D">
              <w:rPr>
                <w:rFonts w:ascii="Arial" w:hAnsi="Arial" w:cs="Arial"/>
                <w:color w:val="000000" w:themeColor="text1"/>
              </w:rPr>
              <w:t>The Group felt the ID’s paper was ‘</w:t>
            </w:r>
            <w:r w:rsidR="0082502F">
              <w:rPr>
                <w:rFonts w:ascii="Arial" w:hAnsi="Arial" w:cs="Arial"/>
                <w:color w:val="000000" w:themeColor="text1"/>
              </w:rPr>
              <w:t xml:space="preserve">a suitable interim position </w:t>
            </w:r>
            <w:r>
              <w:rPr>
                <w:rFonts w:ascii="Arial" w:hAnsi="Arial" w:cs="Arial"/>
                <w:color w:val="000000" w:themeColor="text1"/>
              </w:rPr>
              <w:t>and support was given.</w:t>
            </w:r>
          </w:p>
          <w:p w:rsidR="00D61700" w:rsidRDefault="00D61700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DA2197" w:rsidRDefault="00303815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 Other Recommendations</w:t>
            </w:r>
          </w:p>
          <w:p w:rsidR="00DA2197" w:rsidRPr="0020007E" w:rsidRDefault="00DA2197" w:rsidP="0020007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007E">
              <w:rPr>
                <w:rFonts w:ascii="Arial" w:hAnsi="Arial" w:cs="Arial"/>
                <w:color w:val="000000" w:themeColor="text1"/>
              </w:rPr>
              <w:t xml:space="preserve">MOUs require ERDF partners to report on referrals to GH. </w:t>
            </w:r>
            <w:r w:rsidRPr="0020007E">
              <w:rPr>
                <w:rFonts w:ascii="Arial" w:hAnsi="Arial" w:cs="Arial"/>
                <w:b/>
                <w:color w:val="000000" w:themeColor="text1"/>
              </w:rPr>
              <w:t>(</w:t>
            </w:r>
            <w:proofErr w:type="spellStart"/>
            <w:r w:rsidRPr="0020007E">
              <w:rPr>
                <w:rFonts w:ascii="Arial" w:hAnsi="Arial" w:cs="Arial"/>
                <w:b/>
                <w:color w:val="000000" w:themeColor="text1"/>
              </w:rPr>
              <w:t>JoM</w:t>
            </w:r>
            <w:proofErr w:type="spellEnd"/>
            <w:r w:rsidRPr="0020007E">
              <w:rPr>
                <w:rFonts w:ascii="Arial" w:hAnsi="Arial" w:cs="Arial"/>
                <w:b/>
                <w:color w:val="000000" w:themeColor="text1"/>
              </w:rPr>
              <w:t xml:space="preserve"> to action)</w:t>
            </w:r>
          </w:p>
          <w:p w:rsidR="00DA2197" w:rsidRPr="0020007E" w:rsidRDefault="0082502F" w:rsidP="0020007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Potential for </w:t>
            </w:r>
            <w:r w:rsidR="0020007E" w:rsidRPr="0020007E">
              <w:rPr>
                <w:rFonts w:ascii="Arial" w:hAnsi="Arial" w:cs="Arial"/>
                <w:color w:val="000000" w:themeColor="text1"/>
              </w:rPr>
              <w:t>£20,000</w:t>
            </w:r>
            <w:r w:rsidR="00303815">
              <w:rPr>
                <w:rFonts w:ascii="Arial" w:hAnsi="Arial" w:cs="Arial"/>
                <w:color w:val="000000" w:themeColor="text1"/>
              </w:rPr>
              <w:t xml:space="preserve"> to be </w:t>
            </w:r>
            <w:r w:rsidR="0020007E" w:rsidRPr="0020007E">
              <w:rPr>
                <w:rFonts w:ascii="Arial" w:hAnsi="Arial" w:cs="Arial"/>
                <w:color w:val="000000" w:themeColor="text1"/>
              </w:rPr>
              <w:t>allocated for</w:t>
            </w:r>
            <w:r w:rsidR="00DA2197" w:rsidRPr="0020007E">
              <w:rPr>
                <w:rFonts w:ascii="Arial" w:hAnsi="Arial" w:cs="Arial"/>
                <w:color w:val="000000" w:themeColor="text1"/>
              </w:rPr>
              <w:t xml:space="preserve"> admin</w:t>
            </w:r>
            <w:r w:rsidR="0020007E" w:rsidRPr="0020007E">
              <w:rPr>
                <w:rFonts w:ascii="Arial" w:hAnsi="Arial" w:cs="Arial"/>
                <w:color w:val="000000" w:themeColor="text1"/>
              </w:rPr>
              <w:t>/customer service</w:t>
            </w:r>
            <w:r w:rsidR="00DA2197" w:rsidRPr="0020007E">
              <w:rPr>
                <w:rFonts w:ascii="Arial" w:hAnsi="Arial" w:cs="Arial"/>
                <w:color w:val="000000" w:themeColor="text1"/>
              </w:rPr>
              <w:t xml:space="preserve"> assistant</w:t>
            </w:r>
            <w:r>
              <w:rPr>
                <w:rFonts w:ascii="Arial" w:hAnsi="Arial" w:cs="Arial"/>
                <w:color w:val="000000" w:themeColor="text1"/>
              </w:rPr>
              <w:t xml:space="preserve"> – to be explored</w:t>
            </w:r>
            <w:r w:rsidR="00DA2197" w:rsidRPr="0020007E">
              <w:rPr>
                <w:rFonts w:ascii="Arial" w:hAnsi="Arial" w:cs="Arial"/>
                <w:color w:val="000000" w:themeColor="text1"/>
              </w:rPr>
              <w:t xml:space="preserve"> when budget is confirmed.</w:t>
            </w:r>
            <w:r w:rsidR="009467D3">
              <w:rPr>
                <w:rFonts w:ascii="Arial" w:hAnsi="Arial" w:cs="Arial"/>
                <w:color w:val="000000" w:themeColor="text1"/>
              </w:rPr>
              <w:t xml:space="preserve">  This role was agreed by the group to be important and would make sense to sit in under SWLEP Growth Hub Manager.</w:t>
            </w:r>
          </w:p>
          <w:p w:rsidR="00DA2197" w:rsidRPr="00DA2197" w:rsidRDefault="00DA219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61700" w:rsidRDefault="00D61700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D61700" w:rsidRDefault="00D61700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0C61F1" w:rsidRPr="002A6B58" w:rsidRDefault="000C61F1" w:rsidP="000C61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Feb</w:t>
            </w: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Feb</w:t>
            </w: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9C4" w:rsidRPr="00F469C4" w:rsidRDefault="00F469C4" w:rsidP="00F469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69C4">
              <w:rPr>
                <w:rFonts w:ascii="Arial" w:hAnsi="Arial" w:cs="Arial"/>
                <w:b/>
              </w:rPr>
              <w:t>Update on TEN team and Growth Hub Triage delivery</w:t>
            </w:r>
          </w:p>
          <w:p w:rsidR="006D2053" w:rsidRDefault="006D2053" w:rsidP="00F469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7F8A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EE7F8A" w:rsidRDefault="00EE7F8A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D61700" w:rsidRDefault="00D61700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E7F8A" w:rsidRDefault="00D61700" w:rsidP="00B977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61700">
              <w:rPr>
                <w:rFonts w:ascii="Arial" w:hAnsi="Arial" w:cs="Arial"/>
                <w:color w:val="000000" w:themeColor="text1"/>
              </w:rPr>
              <w:t>Rachel Finley gave an update on behalf of Angela Hays</w:t>
            </w:r>
          </w:p>
          <w:p w:rsidR="00076373" w:rsidRDefault="00076373" w:rsidP="00B977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76373" w:rsidRDefault="00076373" w:rsidP="00B977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Highlighted the lack of resource to answer Growth Hub calls</w:t>
            </w:r>
            <w:r w:rsidR="0020007E">
              <w:rPr>
                <w:rFonts w:ascii="Arial" w:hAnsi="Arial" w:cs="Arial"/>
                <w:color w:val="000000" w:themeColor="text1"/>
              </w:rPr>
              <w:t xml:space="preserve"> and reputational damage.</w:t>
            </w:r>
          </w:p>
          <w:p w:rsidR="00076373" w:rsidRDefault="00076373" w:rsidP="00B977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61700" w:rsidRDefault="00076373" w:rsidP="002000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Alternative solutions to be looked at including live chat (Zen Desk</w:t>
            </w:r>
            <w:r w:rsidR="00DB42F1">
              <w:rPr>
                <w:rFonts w:ascii="Arial" w:hAnsi="Arial" w:cs="Arial"/>
                <w:color w:val="000000" w:themeColor="text1"/>
              </w:rPr>
              <w:t>?</w:t>
            </w:r>
            <w:r>
              <w:rPr>
                <w:rFonts w:ascii="Arial" w:hAnsi="Arial" w:cs="Arial"/>
                <w:color w:val="000000" w:themeColor="text1"/>
              </w:rPr>
              <w:t xml:space="preserve">) as a </w:t>
            </w:r>
            <w:r w:rsidR="000E2200">
              <w:rPr>
                <w:rFonts w:ascii="Arial" w:hAnsi="Arial" w:cs="Arial"/>
                <w:color w:val="000000" w:themeColor="text1"/>
              </w:rPr>
              <w:t>priority (</w:t>
            </w:r>
            <w:r w:rsidRPr="00076373">
              <w:rPr>
                <w:rFonts w:ascii="Arial" w:hAnsi="Arial" w:cs="Arial"/>
                <w:b/>
                <w:color w:val="000000" w:themeColor="text1"/>
              </w:rPr>
              <w:t>Action: Jo M)</w:t>
            </w:r>
            <w:r w:rsidR="004822FB">
              <w:rPr>
                <w:rFonts w:ascii="Arial" w:hAnsi="Arial" w:cs="Arial"/>
                <w:b/>
                <w:color w:val="000000" w:themeColor="text1"/>
              </w:rPr>
              <w:t xml:space="preserve">.  </w:t>
            </w:r>
          </w:p>
          <w:p w:rsidR="0020007E" w:rsidRDefault="0020007E" w:rsidP="002000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20007E" w:rsidRPr="00F469C4" w:rsidRDefault="0020007E" w:rsidP="0020007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E7F8A" w:rsidRDefault="00EE7F8A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April</w:t>
            </w: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F469C4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69C4">
              <w:rPr>
                <w:rFonts w:ascii="Arial" w:hAnsi="Arial" w:cs="Arial"/>
                <w:b/>
              </w:rPr>
              <w:t>Growth Hub Monetisation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BB4A6D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469C4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B4A6D">
              <w:rPr>
                <w:rFonts w:ascii="Arial" w:hAnsi="Arial" w:cs="Arial"/>
                <w:color w:val="000000" w:themeColor="text1"/>
              </w:rPr>
              <w:t>Ian Durston present</w:t>
            </w:r>
            <w:r w:rsidR="00D132EF">
              <w:rPr>
                <w:rFonts w:ascii="Arial" w:hAnsi="Arial" w:cs="Arial"/>
                <w:color w:val="000000" w:themeColor="text1"/>
              </w:rPr>
              <w:t xml:space="preserve">ed paper 1.2 on a proposed </w:t>
            </w:r>
            <w:r w:rsidRPr="00BB4A6D">
              <w:rPr>
                <w:rFonts w:ascii="Arial" w:hAnsi="Arial" w:cs="Arial"/>
                <w:color w:val="000000" w:themeColor="text1"/>
              </w:rPr>
              <w:t>Growth Hub</w:t>
            </w:r>
            <w:r w:rsidR="00D132EF">
              <w:rPr>
                <w:rFonts w:ascii="Arial" w:hAnsi="Arial" w:cs="Arial"/>
                <w:color w:val="000000" w:themeColor="text1"/>
              </w:rPr>
              <w:t xml:space="preserve"> sustainability model.</w:t>
            </w:r>
          </w:p>
          <w:p w:rsidR="00D132EF" w:rsidRDefault="00D132EF" w:rsidP="00BB4A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132EF" w:rsidRDefault="00D132EF" w:rsidP="00BB4A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Noted by the Group that:</w:t>
            </w:r>
          </w:p>
          <w:p w:rsidR="00D132EF" w:rsidRPr="00D132EF" w:rsidRDefault="00D132EF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132EF">
              <w:rPr>
                <w:rFonts w:ascii="Arial" w:hAnsi="Arial" w:cs="Arial"/>
                <w:color w:val="000000" w:themeColor="text1"/>
              </w:rPr>
              <w:t>Capacity, user numbers and reputation of the Growth Hub platform needs to be built up before any charging can be implemented.</w:t>
            </w:r>
          </w:p>
          <w:p w:rsidR="00D132EF" w:rsidRDefault="00D132EF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132EF">
              <w:rPr>
                <w:rFonts w:ascii="Arial" w:hAnsi="Arial" w:cs="Arial"/>
                <w:color w:val="000000" w:themeColor="text1"/>
              </w:rPr>
              <w:t>Business support service providers will be keen to promote on site and therefore will by key fee paying customers.</w:t>
            </w:r>
          </w:p>
          <w:p w:rsidR="00D132EF" w:rsidRDefault="00D132EF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Proposed ‘Bundle Structure’ levels supported i.e. free at point of use including downloads of information and advice.  Charging is implemented when </w:t>
            </w:r>
            <w:r w:rsidR="000E2200">
              <w:rPr>
                <w:rFonts w:ascii="Arial" w:hAnsi="Arial" w:cs="Arial"/>
                <w:color w:val="000000" w:themeColor="text1"/>
              </w:rPr>
              <w:t>user wants</w:t>
            </w:r>
            <w:r>
              <w:rPr>
                <w:rFonts w:ascii="Arial" w:hAnsi="Arial" w:cs="Arial"/>
                <w:color w:val="000000" w:themeColor="text1"/>
              </w:rPr>
              <w:t xml:space="preserve"> to promo</w:t>
            </w:r>
            <w:r w:rsidR="00C16F9D">
              <w:rPr>
                <w:rFonts w:ascii="Arial" w:hAnsi="Arial" w:cs="Arial"/>
                <w:color w:val="000000" w:themeColor="text1"/>
              </w:rPr>
              <w:t>te their own service or content</w:t>
            </w:r>
            <w:r w:rsidR="009767B1">
              <w:rPr>
                <w:rFonts w:ascii="Arial" w:hAnsi="Arial" w:cs="Arial"/>
                <w:color w:val="000000" w:themeColor="text1"/>
              </w:rPr>
              <w:t xml:space="preserve"> including events i.e. engage with other GH users.</w:t>
            </w:r>
          </w:p>
          <w:p w:rsidR="00C16F9D" w:rsidRDefault="00C16F9D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Various levels of charging discussed including £500 for Associate level</w:t>
            </w:r>
          </w:p>
          <w:p w:rsidR="00C16F9D" w:rsidRDefault="00C16F9D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Was suggested that like Yell.com a free 1 line entry was encouraged to improve the site’s SEO.</w:t>
            </w:r>
          </w:p>
          <w:p w:rsidR="00C16F9D" w:rsidRDefault="00C16F9D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Run a ‘Business Adviser’ competition to encourage Associate membership. Example Enterprise Nation.</w:t>
            </w:r>
          </w:p>
          <w:p w:rsidR="009767B1" w:rsidRDefault="009767B1" w:rsidP="00D132E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Discount for first year Associate membership i.e. £250 year 1, £500 year 2.</w:t>
            </w:r>
          </w:p>
          <w:p w:rsidR="00C16F9D" w:rsidRDefault="00C16F9D" w:rsidP="00C16F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16F9D" w:rsidRPr="00C16F9D" w:rsidRDefault="00C16F9D" w:rsidP="00C16F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16F9D">
              <w:rPr>
                <w:rFonts w:ascii="Arial" w:hAnsi="Arial" w:cs="Arial"/>
                <w:b/>
                <w:color w:val="000000" w:themeColor="text1"/>
              </w:rPr>
              <w:t>Conclusion:</w:t>
            </w:r>
          </w:p>
          <w:p w:rsidR="00C16F9D" w:rsidRPr="00C16F9D" w:rsidRDefault="009767B1" w:rsidP="00C16F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Paper supported </w:t>
            </w:r>
            <w:r w:rsidR="000E2200">
              <w:rPr>
                <w:rFonts w:ascii="Arial" w:hAnsi="Arial" w:cs="Arial"/>
                <w:color w:val="000000" w:themeColor="text1"/>
              </w:rPr>
              <w:t>- further</w:t>
            </w:r>
            <w:r w:rsidR="00C16F9D">
              <w:rPr>
                <w:rFonts w:ascii="Arial" w:hAnsi="Arial" w:cs="Arial"/>
                <w:color w:val="000000" w:themeColor="text1"/>
              </w:rPr>
              <w:t xml:space="preserve"> discussion needed </w:t>
            </w:r>
            <w:r w:rsidR="000E2200">
              <w:rPr>
                <w:rFonts w:ascii="Arial" w:hAnsi="Arial" w:cs="Arial"/>
                <w:color w:val="000000" w:themeColor="text1"/>
              </w:rPr>
              <w:t>on finer</w:t>
            </w:r>
            <w:r w:rsidR="00C16F9D">
              <w:rPr>
                <w:rFonts w:ascii="Arial" w:hAnsi="Arial" w:cs="Arial"/>
                <w:color w:val="000000" w:themeColor="text1"/>
              </w:rPr>
              <w:t xml:space="preserve"> details of level of payment etc. Site use and reputation to grow first before launch of monetisation, which may in turn be affected by further announcements </w:t>
            </w:r>
            <w:r w:rsidR="00C16F9D">
              <w:rPr>
                <w:rFonts w:ascii="Arial" w:hAnsi="Arial" w:cs="Arial"/>
                <w:color w:val="000000" w:themeColor="text1"/>
              </w:rPr>
              <w:lastRenderedPageBreak/>
              <w:t>nationally for GH support.</w:t>
            </w:r>
          </w:p>
          <w:p w:rsidR="00D132EF" w:rsidRPr="00BB4A6D" w:rsidRDefault="0082502F" w:rsidP="00BB4A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Paper to be updated to include items discussed above (Action: Ian D)</w:t>
            </w:r>
          </w:p>
          <w:p w:rsidR="00BB4A6D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BB4A6D" w:rsidRPr="00F469C4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6B58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Pr="00A5342F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F469C4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69C4">
              <w:rPr>
                <w:rFonts w:ascii="Arial" w:hAnsi="Arial" w:cs="Arial"/>
                <w:b/>
              </w:rPr>
              <w:t>Wider busin</w:t>
            </w:r>
            <w:r w:rsidR="00852983">
              <w:rPr>
                <w:rFonts w:ascii="Arial" w:hAnsi="Arial" w:cs="Arial"/>
                <w:b/>
              </w:rPr>
              <w:t>ess representation on</w:t>
            </w:r>
            <w:r w:rsidRPr="00F469C4">
              <w:rPr>
                <w:rFonts w:ascii="Arial" w:hAnsi="Arial" w:cs="Arial"/>
                <w:b/>
              </w:rPr>
              <w:t xml:space="preserve"> Governance Group - Update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2A6B58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61F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52983" w:rsidRDefault="00852983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F480B" w:rsidRPr="005F480B" w:rsidRDefault="005F480B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F480B">
              <w:rPr>
                <w:rFonts w:ascii="Arial" w:hAnsi="Arial" w:cs="Arial"/>
              </w:rPr>
              <w:t>JoM</w:t>
            </w:r>
            <w:proofErr w:type="spellEnd"/>
            <w:r w:rsidRPr="005F480B">
              <w:rPr>
                <w:rFonts w:ascii="Arial" w:hAnsi="Arial" w:cs="Arial"/>
              </w:rPr>
              <w:t xml:space="preserve"> presented a list of S&amp;W Growth Hub </w:t>
            </w:r>
            <w:r w:rsidR="002E004F">
              <w:rPr>
                <w:rFonts w:ascii="Arial" w:hAnsi="Arial" w:cs="Arial"/>
              </w:rPr>
              <w:t>‘users’</w:t>
            </w:r>
          </w:p>
          <w:p w:rsidR="005F480B" w:rsidRPr="005F480B" w:rsidRDefault="005F480B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F480B" w:rsidRDefault="005F480B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80B">
              <w:rPr>
                <w:rFonts w:ascii="Arial" w:hAnsi="Arial" w:cs="Arial"/>
              </w:rPr>
              <w:t>It was agreed that Jo M would communicate and recruit new Governance Group members from the following groups:</w:t>
            </w:r>
          </w:p>
          <w:p w:rsidR="002E004F" w:rsidRDefault="002E004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F76CB" w:rsidRDefault="003F76CB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candidates from ‘</w:t>
            </w:r>
            <w:r w:rsidR="002E004F">
              <w:rPr>
                <w:rFonts w:ascii="Arial" w:hAnsi="Arial" w:cs="Arial"/>
              </w:rPr>
              <w:t>user</w:t>
            </w:r>
            <w:r>
              <w:rPr>
                <w:rFonts w:ascii="Arial" w:hAnsi="Arial" w:cs="Arial"/>
              </w:rPr>
              <w:t>’ list</w:t>
            </w:r>
          </w:p>
          <w:p w:rsidR="003F76CB" w:rsidRDefault="003F76CB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candidates fr</w:t>
            </w:r>
            <w:r w:rsidR="0082502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m business representation groups </w:t>
            </w:r>
          </w:p>
          <w:p w:rsidR="003F76CB" w:rsidRDefault="003F76CB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candidates from an open call</w:t>
            </w:r>
          </w:p>
          <w:p w:rsidR="00F42D8A" w:rsidRDefault="00F42D8A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2D8A" w:rsidRDefault="00F42D8A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2D8A">
              <w:rPr>
                <w:rFonts w:ascii="Arial" w:hAnsi="Arial" w:cs="Arial"/>
              </w:rPr>
              <w:t xml:space="preserve">The </w:t>
            </w:r>
            <w:proofErr w:type="spellStart"/>
            <w:r w:rsidRPr="00F42D8A">
              <w:rPr>
                <w:rFonts w:ascii="Arial" w:hAnsi="Arial" w:cs="Arial"/>
              </w:rPr>
              <w:t>ToR</w:t>
            </w:r>
            <w:proofErr w:type="spellEnd"/>
            <w:r w:rsidRPr="00F42D8A">
              <w:rPr>
                <w:rFonts w:ascii="Arial" w:hAnsi="Arial" w:cs="Arial"/>
              </w:rPr>
              <w:t xml:space="preserve"> will need to be amended to reflect this change. </w:t>
            </w:r>
            <w:r w:rsidRPr="00F42D8A">
              <w:rPr>
                <w:rFonts w:ascii="Arial" w:hAnsi="Arial" w:cs="Arial"/>
                <w:b/>
              </w:rPr>
              <w:t xml:space="preserve">(Action: </w:t>
            </w:r>
            <w:proofErr w:type="spellStart"/>
            <w:r w:rsidRPr="00F42D8A">
              <w:rPr>
                <w:rFonts w:ascii="Arial" w:hAnsi="Arial" w:cs="Arial"/>
                <w:b/>
              </w:rPr>
              <w:t>JoM</w:t>
            </w:r>
            <w:proofErr w:type="spellEnd"/>
            <w:r w:rsidRPr="00F42D8A">
              <w:rPr>
                <w:rFonts w:ascii="Arial" w:hAnsi="Arial" w:cs="Arial"/>
                <w:b/>
              </w:rPr>
              <w:t>)</w:t>
            </w:r>
          </w:p>
          <w:p w:rsidR="00852983" w:rsidRDefault="00852983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52983" w:rsidRDefault="00852983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52983" w:rsidRDefault="00852983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F480B" w:rsidRPr="00F469C4" w:rsidRDefault="005F480B" w:rsidP="003F76C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Feb</w:t>
            </w:r>
          </w:p>
        </w:tc>
      </w:tr>
      <w:tr w:rsidR="002A6B58" w:rsidRPr="00A5342F" w:rsidTr="000C61F1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Pr="00A5342F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F469C4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69C4">
              <w:rPr>
                <w:rFonts w:ascii="Arial" w:hAnsi="Arial" w:cs="Arial"/>
                <w:b/>
              </w:rPr>
              <w:t>Financial Spend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2A6B58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61F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C61F1" w:rsidRPr="00A1193F" w:rsidRDefault="000C61F1" w:rsidP="008766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A1193F" w:rsidRPr="00A1193F" w:rsidRDefault="00A1193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1193F" w:rsidRDefault="00A1193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4D2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4D2" w:rsidRPr="00A1193F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C61F1" w:rsidRDefault="00A1193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193F">
              <w:rPr>
                <w:rFonts w:ascii="Arial" w:hAnsi="Arial" w:cs="Arial"/>
              </w:rPr>
              <w:t>Ian Durston presented pape</w:t>
            </w:r>
            <w:r w:rsidR="008324D2">
              <w:rPr>
                <w:rFonts w:ascii="Arial" w:hAnsi="Arial" w:cs="Arial"/>
              </w:rPr>
              <w:t>r</w:t>
            </w:r>
            <w:r w:rsidR="005F33C1">
              <w:rPr>
                <w:rFonts w:ascii="Arial" w:hAnsi="Arial" w:cs="Arial"/>
              </w:rPr>
              <w:t xml:space="preserve"> 1.</w:t>
            </w:r>
            <w:r w:rsidR="008324D2">
              <w:rPr>
                <w:rFonts w:ascii="Arial" w:hAnsi="Arial" w:cs="Arial"/>
              </w:rPr>
              <w:t>3 on finances.</w:t>
            </w:r>
          </w:p>
          <w:p w:rsidR="008324D2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324D2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noted:</w:t>
            </w:r>
          </w:p>
          <w:p w:rsidR="008324D2" w:rsidRPr="005F33C1" w:rsidRDefault="008324D2" w:rsidP="005F33C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3C1">
              <w:rPr>
                <w:rFonts w:ascii="Arial" w:hAnsi="Arial" w:cs="Arial"/>
              </w:rPr>
              <w:t>Costs still need to be considered to identify any further development work beyond March 2018.</w:t>
            </w:r>
          </w:p>
          <w:p w:rsidR="008324D2" w:rsidRPr="005F33C1" w:rsidRDefault="009467D3" w:rsidP="005F33C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development costs have been higher than originally forecast, though there are some mitigating circumstances with </w:t>
            </w:r>
            <w:r w:rsidR="00F1285A" w:rsidRPr="005F33C1">
              <w:rPr>
                <w:rFonts w:ascii="Arial" w:hAnsi="Arial" w:cs="Arial"/>
              </w:rPr>
              <w:t>original developers leaving project.</w:t>
            </w:r>
          </w:p>
          <w:p w:rsidR="005F33C1" w:rsidRDefault="005F33C1" w:rsidP="005F33C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F33C1">
              <w:rPr>
                <w:rFonts w:ascii="Arial" w:hAnsi="Arial" w:cs="Arial"/>
              </w:rPr>
              <w:t>PPC recommended</w:t>
            </w:r>
            <w:r w:rsidRPr="005F33C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5F33C1">
              <w:rPr>
                <w:rFonts w:ascii="Arial" w:hAnsi="Arial" w:cs="Arial"/>
                <w:b/>
              </w:rPr>
              <w:t>JoM</w:t>
            </w:r>
            <w:proofErr w:type="spellEnd"/>
            <w:r w:rsidRPr="005F33C1">
              <w:rPr>
                <w:rFonts w:ascii="Arial" w:hAnsi="Arial" w:cs="Arial"/>
                <w:b/>
              </w:rPr>
              <w:t xml:space="preserve"> to investigate further).</w:t>
            </w:r>
          </w:p>
          <w:p w:rsidR="00303815" w:rsidRPr="005F33C1" w:rsidRDefault="00303815" w:rsidP="005F33C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1285A" w:rsidRPr="00A1193F" w:rsidRDefault="0082502F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to be circulated to clarify cost position and background to spend to date. (Action: Ian D)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852983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0C61F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0C61F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61F1">
              <w:rPr>
                <w:rFonts w:ascii="Arial" w:hAnsi="Arial" w:cs="Arial"/>
                <w:b/>
              </w:rPr>
              <w:t>Swindon and Wiltshire ERDF Technical Assistance 2014-2020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D132EF">
        <w:trPr>
          <w:trHeight w:val="2655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6D2053" w:rsidRPr="00A5342F" w:rsidRDefault="006D2053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DF78A8" w:rsidRDefault="00DF78A8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03815" w:rsidRDefault="00303815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D2053" w:rsidRPr="00DF78A8" w:rsidRDefault="00DF78A8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78A8">
              <w:rPr>
                <w:rFonts w:ascii="Arial" w:hAnsi="Arial" w:cs="Arial"/>
              </w:rPr>
              <w:t>Due to limited time in the schedule the Group</w:t>
            </w:r>
            <w:r w:rsidR="00852983">
              <w:rPr>
                <w:rFonts w:ascii="Arial" w:hAnsi="Arial" w:cs="Arial"/>
              </w:rPr>
              <w:t xml:space="preserve"> were asked to review ERDF Technical Assistance report</w:t>
            </w:r>
            <w:r w:rsidRPr="00DF78A8">
              <w:rPr>
                <w:rFonts w:ascii="Arial" w:hAnsi="Arial" w:cs="Arial"/>
              </w:rPr>
              <w:t xml:space="preserve"> and come back with any questions for Julian Head.</w:t>
            </w:r>
          </w:p>
          <w:p w:rsidR="00DF78A8" w:rsidRPr="00DF78A8" w:rsidRDefault="00DF78A8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78A8" w:rsidRDefault="00DF78A8" w:rsidP="00852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78A8">
              <w:rPr>
                <w:rFonts w:ascii="Arial" w:hAnsi="Arial" w:cs="Arial"/>
              </w:rPr>
              <w:t>No questions were tabled</w:t>
            </w:r>
          </w:p>
          <w:p w:rsidR="00303815" w:rsidRDefault="00303815" w:rsidP="00852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852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852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330" w:rsidRPr="00A5342F" w:rsidTr="00123330">
        <w:trPr>
          <w:trHeight w:val="183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123330" w:rsidRDefault="00D132EF" w:rsidP="00C957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123330" w:rsidRDefault="00D132EF" w:rsidP="00D92A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123330" w:rsidRPr="00A5342F" w:rsidRDefault="00123330" w:rsidP="00C957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23330" w:rsidRPr="00A5342F" w:rsidTr="00123330">
        <w:trPr>
          <w:trHeight w:val="183"/>
        </w:trPr>
        <w:tc>
          <w:tcPr>
            <w:tcW w:w="750" w:type="dxa"/>
            <w:shd w:val="clear" w:color="auto" w:fill="auto"/>
          </w:tcPr>
          <w:p w:rsidR="00123330" w:rsidRDefault="00123330" w:rsidP="00C957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852983" w:rsidRPr="00852983" w:rsidRDefault="00852983" w:rsidP="008529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52983">
              <w:rPr>
                <w:rFonts w:ascii="Arial" w:hAnsi="Arial" w:cs="Arial"/>
                <w:color w:val="000000" w:themeColor="text1"/>
              </w:rPr>
              <w:t>None</w:t>
            </w:r>
          </w:p>
          <w:p w:rsidR="00852983" w:rsidRPr="004659E5" w:rsidRDefault="00852983" w:rsidP="008529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A06F7" w:rsidRPr="000A06F7" w:rsidRDefault="000A06F7" w:rsidP="00C957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2C65" w:rsidRPr="00A5342F" w:rsidTr="00003025">
        <w:trPr>
          <w:trHeight w:val="343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10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Default="00BC2C65" w:rsidP="00464433">
            <w:pPr>
              <w:spacing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highlight w:val="lightGray"/>
              </w:rPr>
              <w:t>AoB</w:t>
            </w:r>
            <w:proofErr w:type="spellEnd"/>
            <w:r>
              <w:rPr>
                <w:rFonts w:ascii="Arial" w:hAnsi="Arial" w:cs="Arial"/>
                <w:b/>
                <w:highlight w:val="lightGray"/>
              </w:rPr>
              <w:t xml:space="preserve"> / Next Meeting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Pr="009368C9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BC2C65" w:rsidRPr="008D1248" w:rsidTr="00B62C8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BC2C65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BC2C65" w:rsidRPr="00852983" w:rsidRDefault="00BC2C65" w:rsidP="000030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C2C65" w:rsidRPr="00852983" w:rsidRDefault="00BC2C65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52983">
              <w:rPr>
                <w:rFonts w:ascii="Arial" w:hAnsi="Arial" w:cs="Arial"/>
                <w:b/>
                <w:color w:val="000000" w:themeColor="text1"/>
              </w:rPr>
              <w:t>Date of next meeting</w:t>
            </w:r>
            <w:r w:rsidR="003266D0">
              <w:rPr>
                <w:rFonts w:ascii="Arial" w:hAnsi="Arial" w:cs="Arial"/>
                <w:b/>
                <w:color w:val="000000" w:themeColor="text1"/>
              </w:rPr>
              <w:t>s</w:t>
            </w:r>
          </w:p>
          <w:p w:rsidR="00852983" w:rsidRDefault="00852983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52983">
              <w:rPr>
                <w:rFonts w:ascii="Arial" w:hAnsi="Arial" w:cs="Arial"/>
                <w:color w:val="000000" w:themeColor="text1"/>
              </w:rPr>
              <w:t>17 April, Monkton Park, Chippenham</w:t>
            </w:r>
          </w:p>
          <w:p w:rsidR="003266D0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July </w:t>
            </w:r>
          </w:p>
          <w:p w:rsidR="003266D0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Oct</w:t>
            </w:r>
          </w:p>
          <w:p w:rsidR="003266D0" w:rsidRPr="00852983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highlight w:val="yellow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>15 Jan</w:t>
            </w:r>
          </w:p>
          <w:p w:rsidR="00BC2C65" w:rsidRPr="00852983" w:rsidRDefault="00BC2C65" w:rsidP="00EE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C2C65" w:rsidRPr="008D1248" w:rsidTr="00900418">
        <w:tc>
          <w:tcPr>
            <w:tcW w:w="750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56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0A06F7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802AD3" w:rsidRDefault="00802AD3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hAnsi="Arial" w:cs="Arial"/>
          <w:b/>
          <w:bCs/>
          <w:highlight w:val="yellow"/>
          <w:u w:val="single"/>
        </w:rPr>
      </w:pPr>
    </w:p>
    <w:p w:rsidR="00AE7D0D" w:rsidRPr="008D1248" w:rsidRDefault="00AE7D0D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hAnsi="Arial" w:cs="Arial"/>
          <w:b/>
          <w:bCs/>
          <w:highlight w:val="yellow"/>
          <w:u w:val="single"/>
        </w:rPr>
      </w:pPr>
    </w:p>
    <w:p w:rsidR="004C6D8E" w:rsidRPr="000A06F7" w:rsidRDefault="003D7555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0A06F7">
        <w:rPr>
          <w:rFonts w:ascii="Arial" w:eastAsia="Times New Roman" w:hAnsi="Arial" w:cs="Arial"/>
          <w:sz w:val="22"/>
          <w:szCs w:val="22"/>
        </w:rPr>
        <w:t>Taken by</w:t>
      </w:r>
    </w:p>
    <w:p w:rsidR="00A33F56" w:rsidRDefault="004659E5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Jo Minnaar</w:t>
      </w:r>
      <w:r w:rsidR="003D7555" w:rsidRPr="000A06F7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Swindon &amp; Wiltshire Growth Hub Manager.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A33F56" w:rsidSect="00573C0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A2" w:rsidRDefault="00A558A2" w:rsidP="00D85231">
      <w:pPr>
        <w:spacing w:after="0" w:line="240" w:lineRule="auto"/>
      </w:pPr>
      <w:r>
        <w:separator/>
      </w:r>
    </w:p>
  </w:endnote>
  <w:endnote w:type="continuationSeparator" w:id="0">
    <w:p w:rsidR="00A558A2" w:rsidRDefault="00A558A2" w:rsidP="00D8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68" w:rsidRDefault="006F5368" w:rsidP="004B6D5E">
    <w:pPr>
      <w:pStyle w:val="Footer"/>
      <w:jc w:val="center"/>
      <w:rPr>
        <w:rFonts w:ascii="Arial" w:hAnsi="Arial" w:cs="Arial"/>
        <w:sz w:val="16"/>
        <w:szCs w:val="16"/>
      </w:rPr>
    </w:pPr>
    <w:r w:rsidRPr="002F0E93">
      <w:rPr>
        <w:rFonts w:ascii="Arial" w:hAnsi="Arial" w:cs="Arial"/>
        <w:sz w:val="16"/>
        <w:szCs w:val="16"/>
      </w:rPr>
      <w:t xml:space="preserve">Page </w:t>
    </w:r>
    <w:r w:rsidR="002E3E1F" w:rsidRPr="002F0E93">
      <w:rPr>
        <w:rFonts w:ascii="Arial" w:hAnsi="Arial" w:cs="Arial"/>
        <w:sz w:val="16"/>
        <w:szCs w:val="16"/>
      </w:rPr>
      <w:fldChar w:fldCharType="begin"/>
    </w:r>
    <w:r w:rsidRPr="002F0E93">
      <w:rPr>
        <w:rFonts w:ascii="Arial" w:hAnsi="Arial" w:cs="Arial"/>
        <w:sz w:val="16"/>
        <w:szCs w:val="16"/>
      </w:rPr>
      <w:instrText xml:space="preserve"> PAGE </w:instrText>
    </w:r>
    <w:r w:rsidR="002E3E1F" w:rsidRPr="002F0E93">
      <w:rPr>
        <w:rFonts w:ascii="Arial" w:hAnsi="Arial" w:cs="Arial"/>
        <w:sz w:val="16"/>
        <w:szCs w:val="16"/>
      </w:rPr>
      <w:fldChar w:fldCharType="separate"/>
    </w:r>
    <w:r w:rsidR="009C1CB2">
      <w:rPr>
        <w:rFonts w:ascii="Arial" w:hAnsi="Arial" w:cs="Arial"/>
        <w:noProof/>
        <w:sz w:val="16"/>
        <w:szCs w:val="16"/>
      </w:rPr>
      <w:t>1</w:t>
    </w:r>
    <w:r w:rsidR="002E3E1F" w:rsidRPr="002F0E93">
      <w:rPr>
        <w:rFonts w:ascii="Arial" w:hAnsi="Arial" w:cs="Arial"/>
        <w:sz w:val="16"/>
        <w:szCs w:val="16"/>
      </w:rPr>
      <w:fldChar w:fldCharType="end"/>
    </w:r>
    <w:r w:rsidRPr="002F0E93">
      <w:rPr>
        <w:rFonts w:ascii="Arial" w:hAnsi="Arial" w:cs="Arial"/>
        <w:sz w:val="16"/>
        <w:szCs w:val="16"/>
      </w:rPr>
      <w:t xml:space="preserve"> of </w:t>
    </w:r>
    <w:r w:rsidR="002E3E1F" w:rsidRPr="002F0E93">
      <w:rPr>
        <w:rFonts w:ascii="Arial" w:hAnsi="Arial" w:cs="Arial"/>
        <w:sz w:val="16"/>
        <w:szCs w:val="16"/>
      </w:rPr>
      <w:fldChar w:fldCharType="begin"/>
    </w:r>
    <w:r w:rsidRPr="002F0E93">
      <w:rPr>
        <w:rFonts w:ascii="Arial" w:hAnsi="Arial" w:cs="Arial"/>
        <w:sz w:val="16"/>
        <w:szCs w:val="16"/>
      </w:rPr>
      <w:instrText xml:space="preserve"> NUMPAGES </w:instrText>
    </w:r>
    <w:r w:rsidR="002E3E1F" w:rsidRPr="002F0E93">
      <w:rPr>
        <w:rFonts w:ascii="Arial" w:hAnsi="Arial" w:cs="Arial"/>
        <w:sz w:val="16"/>
        <w:szCs w:val="16"/>
      </w:rPr>
      <w:fldChar w:fldCharType="separate"/>
    </w:r>
    <w:r w:rsidR="009C1CB2">
      <w:rPr>
        <w:rFonts w:ascii="Arial" w:hAnsi="Arial" w:cs="Arial"/>
        <w:noProof/>
        <w:sz w:val="16"/>
        <w:szCs w:val="16"/>
      </w:rPr>
      <w:t>5</w:t>
    </w:r>
    <w:r w:rsidR="002E3E1F" w:rsidRPr="002F0E9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A2" w:rsidRDefault="00A558A2" w:rsidP="00D85231">
      <w:pPr>
        <w:spacing w:after="0" w:line="240" w:lineRule="auto"/>
      </w:pPr>
      <w:r>
        <w:separator/>
      </w:r>
    </w:p>
  </w:footnote>
  <w:footnote w:type="continuationSeparator" w:id="0">
    <w:p w:rsidR="00A558A2" w:rsidRDefault="00A558A2" w:rsidP="00D8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4819"/>
    </w:tblGrid>
    <w:tr w:rsidR="006F5368" w:rsidRPr="0084218B" w:rsidTr="008903E3">
      <w:tc>
        <w:tcPr>
          <w:tcW w:w="4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sdt>
          <w:sdtPr>
            <w:rPr>
              <w:rFonts w:ascii="Arial" w:hAnsi="Arial" w:cs="Arial"/>
              <w:sz w:val="32"/>
              <w:szCs w:val="32"/>
            </w:rPr>
            <w:id w:val="-1487466701"/>
            <w:docPartObj>
              <w:docPartGallery w:val="Watermarks"/>
              <w:docPartUnique/>
            </w:docPartObj>
          </w:sdtPr>
          <w:sdtEndPr/>
          <w:sdtContent>
            <w:p w:rsidR="006F5368" w:rsidRPr="0084218B" w:rsidRDefault="00A558A2">
              <w:pPr>
                <w:pStyle w:val="Header"/>
                <w:rPr>
                  <w:rFonts w:ascii="Arial" w:hAnsi="Arial" w:cs="Arial"/>
                  <w:sz w:val="32"/>
                  <w:szCs w:val="32"/>
                </w:rPr>
              </w:pPr>
              <w:r>
                <w:rPr>
                  <w:rFonts w:ascii="Arial" w:hAnsi="Arial" w:cs="Arial"/>
                  <w:noProof/>
                  <w:sz w:val="32"/>
                  <w:szCs w:val="32"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p>
          </w:sdtContent>
        </w:sdt>
        <w:p w:rsidR="006F5368" w:rsidRPr="0084218B" w:rsidRDefault="0049636C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Growth Hub</w:t>
          </w:r>
          <w:r w:rsidR="006F5368">
            <w:rPr>
              <w:rFonts w:ascii="Arial" w:hAnsi="Arial" w:cs="Arial"/>
              <w:sz w:val="32"/>
              <w:szCs w:val="32"/>
            </w:rPr>
            <w:t xml:space="preserve"> Governance Group</w:t>
          </w:r>
        </w:p>
        <w:p w:rsidR="006F5368" w:rsidRPr="0084218B" w:rsidRDefault="00C57661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Tues</w:t>
          </w:r>
          <w:r w:rsidR="008520B0">
            <w:rPr>
              <w:rFonts w:ascii="Arial" w:hAnsi="Arial" w:cs="Arial"/>
              <w:sz w:val="32"/>
              <w:szCs w:val="32"/>
            </w:rPr>
            <w:t>day</w:t>
          </w:r>
          <w:r w:rsidR="0092358E">
            <w:rPr>
              <w:rFonts w:ascii="Arial" w:hAnsi="Arial" w:cs="Arial"/>
              <w:sz w:val="32"/>
              <w:szCs w:val="32"/>
            </w:rPr>
            <w:t xml:space="preserve"> 16 January</w:t>
          </w:r>
          <w:r w:rsidR="008520B0">
            <w:rPr>
              <w:rFonts w:ascii="Arial" w:hAnsi="Arial" w:cs="Arial"/>
              <w:sz w:val="32"/>
              <w:szCs w:val="32"/>
            </w:rPr>
            <w:t xml:space="preserve"> </w:t>
          </w:r>
          <w:r w:rsidR="007168CF">
            <w:rPr>
              <w:rFonts w:ascii="Arial" w:hAnsi="Arial" w:cs="Arial"/>
              <w:sz w:val="32"/>
              <w:szCs w:val="32"/>
            </w:rPr>
            <w:t>201</w:t>
          </w:r>
          <w:r w:rsidR="0092358E">
            <w:rPr>
              <w:rFonts w:ascii="Arial" w:hAnsi="Arial" w:cs="Arial"/>
              <w:sz w:val="32"/>
              <w:szCs w:val="32"/>
            </w:rPr>
            <w:t>8</w:t>
          </w:r>
          <w:r w:rsidR="006F5368">
            <w:rPr>
              <w:rFonts w:ascii="Arial" w:hAnsi="Arial" w:cs="Arial"/>
              <w:sz w:val="32"/>
              <w:szCs w:val="32"/>
            </w:rPr>
            <w:t xml:space="preserve"> </w:t>
          </w:r>
        </w:p>
        <w:p w:rsidR="006F5368" w:rsidRPr="0084218B" w:rsidRDefault="006F5368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368" w:rsidRDefault="006F5368">
          <w:pPr>
            <w:pStyle w:val="Header"/>
            <w:rPr>
              <w:noProof/>
              <w:lang w:eastAsia="en-GB"/>
            </w:rPr>
          </w:pPr>
        </w:p>
        <w:p w:rsidR="006F5368" w:rsidRDefault="008903E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CDFC910" wp14:editId="003123E9">
                <wp:extent cx="2846373" cy="485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owth Hub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6753" cy="48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368" w:rsidRDefault="006F5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15"/>
    <w:multiLevelType w:val="hybridMultilevel"/>
    <w:tmpl w:val="D582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F7A"/>
    <w:multiLevelType w:val="hybridMultilevel"/>
    <w:tmpl w:val="0E12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D91"/>
    <w:multiLevelType w:val="hybridMultilevel"/>
    <w:tmpl w:val="AA26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6DF"/>
    <w:multiLevelType w:val="hybridMultilevel"/>
    <w:tmpl w:val="4422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D56CC"/>
    <w:multiLevelType w:val="hybridMultilevel"/>
    <w:tmpl w:val="461E58D0"/>
    <w:lvl w:ilvl="0" w:tplc="BA4EF05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86E22"/>
    <w:multiLevelType w:val="multilevel"/>
    <w:tmpl w:val="C87262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F31E9C"/>
    <w:multiLevelType w:val="hybridMultilevel"/>
    <w:tmpl w:val="024E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36F"/>
    <w:multiLevelType w:val="hybridMultilevel"/>
    <w:tmpl w:val="FCA00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36F1F"/>
    <w:multiLevelType w:val="hybridMultilevel"/>
    <w:tmpl w:val="75B0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187B"/>
    <w:multiLevelType w:val="hybridMultilevel"/>
    <w:tmpl w:val="9CC6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239C"/>
    <w:multiLevelType w:val="hybridMultilevel"/>
    <w:tmpl w:val="29B0A5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8275FA"/>
    <w:multiLevelType w:val="hybridMultilevel"/>
    <w:tmpl w:val="1794EC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4F40"/>
    <w:multiLevelType w:val="multilevel"/>
    <w:tmpl w:val="399C7842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50444E"/>
    <w:multiLevelType w:val="hybridMultilevel"/>
    <w:tmpl w:val="58CE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0CF6"/>
    <w:multiLevelType w:val="hybridMultilevel"/>
    <w:tmpl w:val="DAA6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4382B"/>
    <w:multiLevelType w:val="hybridMultilevel"/>
    <w:tmpl w:val="79CAA010"/>
    <w:lvl w:ilvl="0" w:tplc="3F98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275C3"/>
    <w:multiLevelType w:val="hybridMultilevel"/>
    <w:tmpl w:val="0292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B2CC6"/>
    <w:multiLevelType w:val="hybridMultilevel"/>
    <w:tmpl w:val="B2FA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D43A2"/>
    <w:multiLevelType w:val="hybridMultilevel"/>
    <w:tmpl w:val="DAF0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4C5C"/>
    <w:multiLevelType w:val="hybridMultilevel"/>
    <w:tmpl w:val="6948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55877"/>
    <w:multiLevelType w:val="hybridMultilevel"/>
    <w:tmpl w:val="2DBC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802A7"/>
    <w:multiLevelType w:val="hybridMultilevel"/>
    <w:tmpl w:val="B0E85EFA"/>
    <w:lvl w:ilvl="0" w:tplc="905ED9D0">
      <w:start w:val="30"/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>
    <w:nsid w:val="4538432E"/>
    <w:multiLevelType w:val="hybridMultilevel"/>
    <w:tmpl w:val="64349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C0948"/>
    <w:multiLevelType w:val="hybridMultilevel"/>
    <w:tmpl w:val="8C3EB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B6CBB"/>
    <w:multiLevelType w:val="hybridMultilevel"/>
    <w:tmpl w:val="22B6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F12D5"/>
    <w:multiLevelType w:val="hybridMultilevel"/>
    <w:tmpl w:val="6A4EB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55DD6"/>
    <w:multiLevelType w:val="hybridMultilevel"/>
    <w:tmpl w:val="620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2069"/>
    <w:multiLevelType w:val="hybridMultilevel"/>
    <w:tmpl w:val="2AE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D52DB"/>
    <w:multiLevelType w:val="hybridMultilevel"/>
    <w:tmpl w:val="C3DE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F7695"/>
    <w:multiLevelType w:val="hybridMultilevel"/>
    <w:tmpl w:val="E92E3C80"/>
    <w:lvl w:ilvl="0" w:tplc="1856DDDC">
      <w:start w:val="2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267B5"/>
    <w:multiLevelType w:val="hybridMultilevel"/>
    <w:tmpl w:val="A640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B0916"/>
    <w:multiLevelType w:val="hybridMultilevel"/>
    <w:tmpl w:val="5F4E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671DF"/>
    <w:multiLevelType w:val="hybridMultilevel"/>
    <w:tmpl w:val="84AA0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D56D5"/>
    <w:multiLevelType w:val="hybridMultilevel"/>
    <w:tmpl w:val="8374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6791A"/>
    <w:multiLevelType w:val="hybridMultilevel"/>
    <w:tmpl w:val="FB022F84"/>
    <w:lvl w:ilvl="0" w:tplc="5D96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84B17"/>
    <w:multiLevelType w:val="hybridMultilevel"/>
    <w:tmpl w:val="EF7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C43A1"/>
    <w:multiLevelType w:val="hybridMultilevel"/>
    <w:tmpl w:val="973E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965EA"/>
    <w:multiLevelType w:val="hybridMultilevel"/>
    <w:tmpl w:val="37C4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29314F"/>
    <w:multiLevelType w:val="hybridMultilevel"/>
    <w:tmpl w:val="B0703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7D2375"/>
    <w:multiLevelType w:val="hybridMultilevel"/>
    <w:tmpl w:val="76921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E40F8E"/>
    <w:multiLevelType w:val="hybridMultilevel"/>
    <w:tmpl w:val="DC94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C837DD"/>
    <w:multiLevelType w:val="hybridMultilevel"/>
    <w:tmpl w:val="A42C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432EB9"/>
    <w:multiLevelType w:val="hybridMultilevel"/>
    <w:tmpl w:val="772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932518"/>
    <w:multiLevelType w:val="hybridMultilevel"/>
    <w:tmpl w:val="95404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0D6B26"/>
    <w:multiLevelType w:val="hybridMultilevel"/>
    <w:tmpl w:val="AA86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455333"/>
    <w:multiLevelType w:val="hybridMultilevel"/>
    <w:tmpl w:val="3F36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FB64A8"/>
    <w:multiLevelType w:val="hybridMultilevel"/>
    <w:tmpl w:val="889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A706FB"/>
    <w:multiLevelType w:val="hybridMultilevel"/>
    <w:tmpl w:val="E390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F65FE"/>
    <w:multiLevelType w:val="hybridMultilevel"/>
    <w:tmpl w:val="B8840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77232"/>
    <w:multiLevelType w:val="hybridMultilevel"/>
    <w:tmpl w:val="7F64A3CE"/>
    <w:lvl w:ilvl="0" w:tplc="4378B3FC">
      <w:start w:val="3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23"/>
  </w:num>
  <w:num w:numId="5">
    <w:abstractNumId w:val="25"/>
  </w:num>
  <w:num w:numId="6">
    <w:abstractNumId w:val="43"/>
  </w:num>
  <w:num w:numId="7">
    <w:abstractNumId w:val="10"/>
  </w:num>
  <w:num w:numId="8">
    <w:abstractNumId w:val="44"/>
  </w:num>
  <w:num w:numId="9">
    <w:abstractNumId w:val="26"/>
  </w:num>
  <w:num w:numId="10">
    <w:abstractNumId w:val="24"/>
  </w:num>
  <w:num w:numId="11">
    <w:abstractNumId w:val="31"/>
  </w:num>
  <w:num w:numId="12">
    <w:abstractNumId w:val="41"/>
  </w:num>
  <w:num w:numId="13">
    <w:abstractNumId w:val="38"/>
  </w:num>
  <w:num w:numId="14">
    <w:abstractNumId w:val="39"/>
  </w:num>
  <w:num w:numId="15">
    <w:abstractNumId w:val="22"/>
  </w:num>
  <w:num w:numId="16">
    <w:abstractNumId w:val="12"/>
  </w:num>
  <w:num w:numId="17">
    <w:abstractNumId w:val="5"/>
  </w:num>
  <w:num w:numId="18">
    <w:abstractNumId w:val="40"/>
  </w:num>
  <w:num w:numId="19">
    <w:abstractNumId w:val="0"/>
  </w:num>
  <w:num w:numId="20">
    <w:abstractNumId w:val="47"/>
  </w:num>
  <w:num w:numId="21">
    <w:abstractNumId w:val="13"/>
  </w:num>
  <w:num w:numId="22">
    <w:abstractNumId w:val="1"/>
  </w:num>
  <w:num w:numId="23">
    <w:abstractNumId w:val="14"/>
  </w:num>
  <w:num w:numId="24">
    <w:abstractNumId w:val="46"/>
  </w:num>
  <w:num w:numId="25">
    <w:abstractNumId w:val="27"/>
  </w:num>
  <w:num w:numId="26">
    <w:abstractNumId w:val="36"/>
  </w:num>
  <w:num w:numId="27">
    <w:abstractNumId w:val="33"/>
  </w:num>
  <w:num w:numId="28">
    <w:abstractNumId w:val="9"/>
  </w:num>
  <w:num w:numId="29">
    <w:abstractNumId w:val="37"/>
  </w:num>
  <w:num w:numId="30">
    <w:abstractNumId w:val="8"/>
  </w:num>
  <w:num w:numId="31">
    <w:abstractNumId w:val="3"/>
  </w:num>
  <w:num w:numId="32">
    <w:abstractNumId w:val="19"/>
  </w:num>
  <w:num w:numId="33">
    <w:abstractNumId w:val="16"/>
  </w:num>
  <w:num w:numId="34">
    <w:abstractNumId w:val="17"/>
  </w:num>
  <w:num w:numId="35">
    <w:abstractNumId w:val="6"/>
  </w:num>
  <w:num w:numId="36">
    <w:abstractNumId w:val="35"/>
  </w:num>
  <w:num w:numId="37">
    <w:abstractNumId w:val="45"/>
  </w:num>
  <w:num w:numId="38">
    <w:abstractNumId w:val="20"/>
  </w:num>
  <w:num w:numId="39">
    <w:abstractNumId w:val="18"/>
  </w:num>
  <w:num w:numId="40">
    <w:abstractNumId w:val="32"/>
  </w:num>
  <w:num w:numId="41">
    <w:abstractNumId w:val="11"/>
  </w:num>
  <w:num w:numId="42">
    <w:abstractNumId w:val="48"/>
  </w:num>
  <w:num w:numId="43">
    <w:abstractNumId w:val="49"/>
  </w:num>
  <w:num w:numId="44">
    <w:abstractNumId w:val="15"/>
  </w:num>
  <w:num w:numId="45">
    <w:abstractNumId w:val="29"/>
  </w:num>
  <w:num w:numId="46">
    <w:abstractNumId w:val="21"/>
  </w:num>
  <w:num w:numId="47">
    <w:abstractNumId w:val="42"/>
  </w:num>
  <w:num w:numId="48">
    <w:abstractNumId w:val="2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9"/>
    <w:rsid w:val="000007D0"/>
    <w:rsid w:val="000017D3"/>
    <w:rsid w:val="00003025"/>
    <w:rsid w:val="0001137D"/>
    <w:rsid w:val="00014200"/>
    <w:rsid w:val="00014601"/>
    <w:rsid w:val="00014C6F"/>
    <w:rsid w:val="0001569A"/>
    <w:rsid w:val="00015A54"/>
    <w:rsid w:val="00015EE4"/>
    <w:rsid w:val="00017493"/>
    <w:rsid w:val="000236EB"/>
    <w:rsid w:val="0002577A"/>
    <w:rsid w:val="00026A2D"/>
    <w:rsid w:val="0003091F"/>
    <w:rsid w:val="0003250D"/>
    <w:rsid w:val="00034AB2"/>
    <w:rsid w:val="00042C05"/>
    <w:rsid w:val="000434AB"/>
    <w:rsid w:val="00043A8F"/>
    <w:rsid w:val="00043F37"/>
    <w:rsid w:val="0005073C"/>
    <w:rsid w:val="00050C70"/>
    <w:rsid w:val="00050E90"/>
    <w:rsid w:val="00050EEF"/>
    <w:rsid w:val="00050F28"/>
    <w:rsid w:val="0005272D"/>
    <w:rsid w:val="000538E1"/>
    <w:rsid w:val="0005589D"/>
    <w:rsid w:val="0006173A"/>
    <w:rsid w:val="000631B0"/>
    <w:rsid w:val="00070947"/>
    <w:rsid w:val="00075668"/>
    <w:rsid w:val="00076373"/>
    <w:rsid w:val="00077E7A"/>
    <w:rsid w:val="000816B1"/>
    <w:rsid w:val="00082861"/>
    <w:rsid w:val="00082CC4"/>
    <w:rsid w:val="00085CC1"/>
    <w:rsid w:val="000866F0"/>
    <w:rsid w:val="00086B1B"/>
    <w:rsid w:val="00090668"/>
    <w:rsid w:val="00091E93"/>
    <w:rsid w:val="00094D40"/>
    <w:rsid w:val="00096488"/>
    <w:rsid w:val="00097A49"/>
    <w:rsid w:val="00097AF0"/>
    <w:rsid w:val="000A06F7"/>
    <w:rsid w:val="000A19F3"/>
    <w:rsid w:val="000A28BD"/>
    <w:rsid w:val="000A2D17"/>
    <w:rsid w:val="000A42F4"/>
    <w:rsid w:val="000A46A3"/>
    <w:rsid w:val="000A4B67"/>
    <w:rsid w:val="000A50F8"/>
    <w:rsid w:val="000A769D"/>
    <w:rsid w:val="000A7CE0"/>
    <w:rsid w:val="000B0077"/>
    <w:rsid w:val="000B0EF8"/>
    <w:rsid w:val="000B1FF0"/>
    <w:rsid w:val="000B2D6E"/>
    <w:rsid w:val="000B3CAD"/>
    <w:rsid w:val="000B4A6E"/>
    <w:rsid w:val="000B4B60"/>
    <w:rsid w:val="000B6E2B"/>
    <w:rsid w:val="000B7483"/>
    <w:rsid w:val="000C1543"/>
    <w:rsid w:val="000C1C83"/>
    <w:rsid w:val="000C61F1"/>
    <w:rsid w:val="000C69F6"/>
    <w:rsid w:val="000C6AAB"/>
    <w:rsid w:val="000D07B0"/>
    <w:rsid w:val="000D2922"/>
    <w:rsid w:val="000D3960"/>
    <w:rsid w:val="000D5D0E"/>
    <w:rsid w:val="000D6206"/>
    <w:rsid w:val="000D775F"/>
    <w:rsid w:val="000E0034"/>
    <w:rsid w:val="000E0C14"/>
    <w:rsid w:val="000E2200"/>
    <w:rsid w:val="000E2E59"/>
    <w:rsid w:val="000E4AE3"/>
    <w:rsid w:val="000E63C3"/>
    <w:rsid w:val="000E7795"/>
    <w:rsid w:val="000F0962"/>
    <w:rsid w:val="000F3A48"/>
    <w:rsid w:val="000F447A"/>
    <w:rsid w:val="000F451D"/>
    <w:rsid w:val="000F5E67"/>
    <w:rsid w:val="000F71F0"/>
    <w:rsid w:val="000F7D2F"/>
    <w:rsid w:val="0010160E"/>
    <w:rsid w:val="00105308"/>
    <w:rsid w:val="00105FA0"/>
    <w:rsid w:val="001062E0"/>
    <w:rsid w:val="001118C6"/>
    <w:rsid w:val="0011226C"/>
    <w:rsid w:val="001137BB"/>
    <w:rsid w:val="00123330"/>
    <w:rsid w:val="00124208"/>
    <w:rsid w:val="00125CD7"/>
    <w:rsid w:val="00127213"/>
    <w:rsid w:val="00127DFE"/>
    <w:rsid w:val="001301B9"/>
    <w:rsid w:val="00132E85"/>
    <w:rsid w:val="001336E4"/>
    <w:rsid w:val="001343EE"/>
    <w:rsid w:val="00134485"/>
    <w:rsid w:val="00135942"/>
    <w:rsid w:val="00135B73"/>
    <w:rsid w:val="0013614F"/>
    <w:rsid w:val="001364B6"/>
    <w:rsid w:val="00136D54"/>
    <w:rsid w:val="001377D7"/>
    <w:rsid w:val="00140ED3"/>
    <w:rsid w:val="0014218C"/>
    <w:rsid w:val="00143003"/>
    <w:rsid w:val="0014561A"/>
    <w:rsid w:val="00145BE1"/>
    <w:rsid w:val="00147778"/>
    <w:rsid w:val="001500B8"/>
    <w:rsid w:val="00150704"/>
    <w:rsid w:val="0015091F"/>
    <w:rsid w:val="00150D94"/>
    <w:rsid w:val="00153EEF"/>
    <w:rsid w:val="00154753"/>
    <w:rsid w:val="00154FF7"/>
    <w:rsid w:val="00155A94"/>
    <w:rsid w:val="00155E64"/>
    <w:rsid w:val="00163429"/>
    <w:rsid w:val="00163EC8"/>
    <w:rsid w:val="001642AA"/>
    <w:rsid w:val="00164CDA"/>
    <w:rsid w:val="00165FBD"/>
    <w:rsid w:val="00166486"/>
    <w:rsid w:val="00166857"/>
    <w:rsid w:val="00167A0F"/>
    <w:rsid w:val="00167A18"/>
    <w:rsid w:val="00170F37"/>
    <w:rsid w:val="00171EE2"/>
    <w:rsid w:val="001732EA"/>
    <w:rsid w:val="00173A4D"/>
    <w:rsid w:val="00174A55"/>
    <w:rsid w:val="001757E2"/>
    <w:rsid w:val="00175B5D"/>
    <w:rsid w:val="00175E5B"/>
    <w:rsid w:val="00180720"/>
    <w:rsid w:val="001809A5"/>
    <w:rsid w:val="00181EC3"/>
    <w:rsid w:val="00181FE0"/>
    <w:rsid w:val="00185D4F"/>
    <w:rsid w:val="00186820"/>
    <w:rsid w:val="001922BF"/>
    <w:rsid w:val="001934AA"/>
    <w:rsid w:val="00193E39"/>
    <w:rsid w:val="00195410"/>
    <w:rsid w:val="001969B2"/>
    <w:rsid w:val="001A04FA"/>
    <w:rsid w:val="001A0613"/>
    <w:rsid w:val="001A3161"/>
    <w:rsid w:val="001A3254"/>
    <w:rsid w:val="001A3951"/>
    <w:rsid w:val="001A4CBA"/>
    <w:rsid w:val="001A56E9"/>
    <w:rsid w:val="001A6C46"/>
    <w:rsid w:val="001A6C8A"/>
    <w:rsid w:val="001A743E"/>
    <w:rsid w:val="001B196A"/>
    <w:rsid w:val="001B1F9A"/>
    <w:rsid w:val="001B5F03"/>
    <w:rsid w:val="001C4D67"/>
    <w:rsid w:val="001C5327"/>
    <w:rsid w:val="001C62C0"/>
    <w:rsid w:val="001C7244"/>
    <w:rsid w:val="001C77BE"/>
    <w:rsid w:val="001D1C59"/>
    <w:rsid w:val="001D263B"/>
    <w:rsid w:val="001E3092"/>
    <w:rsid w:val="001E4048"/>
    <w:rsid w:val="001E47F0"/>
    <w:rsid w:val="001E5F97"/>
    <w:rsid w:val="001F582A"/>
    <w:rsid w:val="001F79F2"/>
    <w:rsid w:val="0020007E"/>
    <w:rsid w:val="00200970"/>
    <w:rsid w:val="002025EA"/>
    <w:rsid w:val="00202ACF"/>
    <w:rsid w:val="00202DFB"/>
    <w:rsid w:val="00203163"/>
    <w:rsid w:val="002064C8"/>
    <w:rsid w:val="0021058E"/>
    <w:rsid w:val="00210B1F"/>
    <w:rsid w:val="0021126E"/>
    <w:rsid w:val="002140E5"/>
    <w:rsid w:val="00216F14"/>
    <w:rsid w:val="00216FEA"/>
    <w:rsid w:val="0021750C"/>
    <w:rsid w:val="00220F35"/>
    <w:rsid w:val="00221A23"/>
    <w:rsid w:val="00222381"/>
    <w:rsid w:val="00222FB1"/>
    <w:rsid w:val="00226090"/>
    <w:rsid w:val="0022700D"/>
    <w:rsid w:val="00233AA2"/>
    <w:rsid w:val="002374FE"/>
    <w:rsid w:val="00240210"/>
    <w:rsid w:val="00241F0D"/>
    <w:rsid w:val="00246363"/>
    <w:rsid w:val="00246E41"/>
    <w:rsid w:val="002473AC"/>
    <w:rsid w:val="00251C24"/>
    <w:rsid w:val="00252C51"/>
    <w:rsid w:val="00253881"/>
    <w:rsid w:val="00253CB6"/>
    <w:rsid w:val="00255CA1"/>
    <w:rsid w:val="0026086B"/>
    <w:rsid w:val="00260D0E"/>
    <w:rsid w:val="00262A80"/>
    <w:rsid w:val="00263E7F"/>
    <w:rsid w:val="00265142"/>
    <w:rsid w:val="00265EAA"/>
    <w:rsid w:val="002675DD"/>
    <w:rsid w:val="00271BE1"/>
    <w:rsid w:val="00272EE5"/>
    <w:rsid w:val="00273225"/>
    <w:rsid w:val="00273EFD"/>
    <w:rsid w:val="002755DA"/>
    <w:rsid w:val="0027596D"/>
    <w:rsid w:val="0027599E"/>
    <w:rsid w:val="00277416"/>
    <w:rsid w:val="002818FC"/>
    <w:rsid w:val="00285481"/>
    <w:rsid w:val="00285DAE"/>
    <w:rsid w:val="0029344F"/>
    <w:rsid w:val="00293E49"/>
    <w:rsid w:val="0029484B"/>
    <w:rsid w:val="00294EB3"/>
    <w:rsid w:val="00295489"/>
    <w:rsid w:val="002A281D"/>
    <w:rsid w:val="002A335F"/>
    <w:rsid w:val="002A6B58"/>
    <w:rsid w:val="002A6E03"/>
    <w:rsid w:val="002B25F2"/>
    <w:rsid w:val="002B27FF"/>
    <w:rsid w:val="002B2ECA"/>
    <w:rsid w:val="002B3330"/>
    <w:rsid w:val="002B4C27"/>
    <w:rsid w:val="002B7ADC"/>
    <w:rsid w:val="002C30FC"/>
    <w:rsid w:val="002C3EA8"/>
    <w:rsid w:val="002C4281"/>
    <w:rsid w:val="002C4C85"/>
    <w:rsid w:val="002C79F8"/>
    <w:rsid w:val="002D2FA1"/>
    <w:rsid w:val="002D3423"/>
    <w:rsid w:val="002D3F67"/>
    <w:rsid w:val="002D4785"/>
    <w:rsid w:val="002D4AB6"/>
    <w:rsid w:val="002D7E66"/>
    <w:rsid w:val="002E004F"/>
    <w:rsid w:val="002E02DB"/>
    <w:rsid w:val="002E19B6"/>
    <w:rsid w:val="002E2B0D"/>
    <w:rsid w:val="002E3E1F"/>
    <w:rsid w:val="002E4C1B"/>
    <w:rsid w:val="002E61D0"/>
    <w:rsid w:val="002E6EBB"/>
    <w:rsid w:val="002F059D"/>
    <w:rsid w:val="002F0CFB"/>
    <w:rsid w:val="002F0E93"/>
    <w:rsid w:val="002F18DB"/>
    <w:rsid w:val="002F1C10"/>
    <w:rsid w:val="002F1FFC"/>
    <w:rsid w:val="002F2FA2"/>
    <w:rsid w:val="002F543D"/>
    <w:rsid w:val="00301C93"/>
    <w:rsid w:val="00302EDB"/>
    <w:rsid w:val="00303815"/>
    <w:rsid w:val="00306CAE"/>
    <w:rsid w:val="003157A4"/>
    <w:rsid w:val="003178C9"/>
    <w:rsid w:val="00321CA6"/>
    <w:rsid w:val="00323B24"/>
    <w:rsid w:val="003249A9"/>
    <w:rsid w:val="00324F4F"/>
    <w:rsid w:val="003258CC"/>
    <w:rsid w:val="00325C8D"/>
    <w:rsid w:val="00325CAE"/>
    <w:rsid w:val="003266D0"/>
    <w:rsid w:val="0032682E"/>
    <w:rsid w:val="0033088F"/>
    <w:rsid w:val="003335FB"/>
    <w:rsid w:val="003338F9"/>
    <w:rsid w:val="00335E81"/>
    <w:rsid w:val="00336793"/>
    <w:rsid w:val="00336D44"/>
    <w:rsid w:val="00337F55"/>
    <w:rsid w:val="00341AD0"/>
    <w:rsid w:val="00341C26"/>
    <w:rsid w:val="00343D8D"/>
    <w:rsid w:val="0034433F"/>
    <w:rsid w:val="00347C02"/>
    <w:rsid w:val="003505CE"/>
    <w:rsid w:val="00351E54"/>
    <w:rsid w:val="0035309E"/>
    <w:rsid w:val="003534F4"/>
    <w:rsid w:val="0035601E"/>
    <w:rsid w:val="00356E4E"/>
    <w:rsid w:val="003610D3"/>
    <w:rsid w:val="00361775"/>
    <w:rsid w:val="00361F5D"/>
    <w:rsid w:val="00365B05"/>
    <w:rsid w:val="00370B88"/>
    <w:rsid w:val="00371C36"/>
    <w:rsid w:val="003731B9"/>
    <w:rsid w:val="00373E7D"/>
    <w:rsid w:val="00375A0F"/>
    <w:rsid w:val="00385653"/>
    <w:rsid w:val="00387103"/>
    <w:rsid w:val="0039150F"/>
    <w:rsid w:val="00395F2F"/>
    <w:rsid w:val="00396376"/>
    <w:rsid w:val="00396416"/>
    <w:rsid w:val="003969BE"/>
    <w:rsid w:val="0039751D"/>
    <w:rsid w:val="003A08BC"/>
    <w:rsid w:val="003A0A4E"/>
    <w:rsid w:val="003A1B1E"/>
    <w:rsid w:val="003A40D4"/>
    <w:rsid w:val="003A55A7"/>
    <w:rsid w:val="003A67D3"/>
    <w:rsid w:val="003A7EAA"/>
    <w:rsid w:val="003B02AD"/>
    <w:rsid w:val="003B10C9"/>
    <w:rsid w:val="003B4B87"/>
    <w:rsid w:val="003B5583"/>
    <w:rsid w:val="003B703B"/>
    <w:rsid w:val="003B725B"/>
    <w:rsid w:val="003C1488"/>
    <w:rsid w:val="003C21A2"/>
    <w:rsid w:val="003C4F0C"/>
    <w:rsid w:val="003C5C90"/>
    <w:rsid w:val="003C5DE8"/>
    <w:rsid w:val="003C7058"/>
    <w:rsid w:val="003D0029"/>
    <w:rsid w:val="003D1797"/>
    <w:rsid w:val="003D1C5A"/>
    <w:rsid w:val="003D5011"/>
    <w:rsid w:val="003D7555"/>
    <w:rsid w:val="003E0824"/>
    <w:rsid w:val="003E16A8"/>
    <w:rsid w:val="003E30A9"/>
    <w:rsid w:val="003E3E5D"/>
    <w:rsid w:val="003E4C35"/>
    <w:rsid w:val="003E5261"/>
    <w:rsid w:val="003E5DC2"/>
    <w:rsid w:val="003E69E8"/>
    <w:rsid w:val="003F01C4"/>
    <w:rsid w:val="003F0DD9"/>
    <w:rsid w:val="003F13CC"/>
    <w:rsid w:val="003F1C14"/>
    <w:rsid w:val="003F2141"/>
    <w:rsid w:val="003F6AAB"/>
    <w:rsid w:val="003F76CB"/>
    <w:rsid w:val="00402FD6"/>
    <w:rsid w:val="004050AD"/>
    <w:rsid w:val="00406BDD"/>
    <w:rsid w:val="00411AE1"/>
    <w:rsid w:val="0042000B"/>
    <w:rsid w:val="00423486"/>
    <w:rsid w:val="00423CAC"/>
    <w:rsid w:val="00423D7E"/>
    <w:rsid w:val="004271CF"/>
    <w:rsid w:val="00427CE1"/>
    <w:rsid w:val="004300C3"/>
    <w:rsid w:val="004308A0"/>
    <w:rsid w:val="00430D3C"/>
    <w:rsid w:val="0043166D"/>
    <w:rsid w:val="0043259E"/>
    <w:rsid w:val="0043307F"/>
    <w:rsid w:val="00433D2D"/>
    <w:rsid w:val="00436734"/>
    <w:rsid w:val="00436FC3"/>
    <w:rsid w:val="00437CB7"/>
    <w:rsid w:val="00437F5F"/>
    <w:rsid w:val="00442EB9"/>
    <w:rsid w:val="0044373F"/>
    <w:rsid w:val="0044456C"/>
    <w:rsid w:val="00444D1E"/>
    <w:rsid w:val="00445BF9"/>
    <w:rsid w:val="00450B22"/>
    <w:rsid w:val="00451643"/>
    <w:rsid w:val="00457F86"/>
    <w:rsid w:val="004635A0"/>
    <w:rsid w:val="00464433"/>
    <w:rsid w:val="004655BE"/>
    <w:rsid w:val="004659E5"/>
    <w:rsid w:val="004728A6"/>
    <w:rsid w:val="0047321E"/>
    <w:rsid w:val="004734AF"/>
    <w:rsid w:val="00474335"/>
    <w:rsid w:val="0047455B"/>
    <w:rsid w:val="00474F74"/>
    <w:rsid w:val="004763E1"/>
    <w:rsid w:val="00476CC6"/>
    <w:rsid w:val="00476F15"/>
    <w:rsid w:val="0048021E"/>
    <w:rsid w:val="004822FB"/>
    <w:rsid w:val="004826DF"/>
    <w:rsid w:val="004831BD"/>
    <w:rsid w:val="0048329C"/>
    <w:rsid w:val="00485014"/>
    <w:rsid w:val="004859F1"/>
    <w:rsid w:val="004913A6"/>
    <w:rsid w:val="00491406"/>
    <w:rsid w:val="00491BE5"/>
    <w:rsid w:val="00492E37"/>
    <w:rsid w:val="00494123"/>
    <w:rsid w:val="00494F14"/>
    <w:rsid w:val="00495437"/>
    <w:rsid w:val="0049636C"/>
    <w:rsid w:val="00497E6E"/>
    <w:rsid w:val="004A004A"/>
    <w:rsid w:val="004A544D"/>
    <w:rsid w:val="004A5A57"/>
    <w:rsid w:val="004A63C1"/>
    <w:rsid w:val="004B0D69"/>
    <w:rsid w:val="004B5360"/>
    <w:rsid w:val="004B6D5E"/>
    <w:rsid w:val="004B764D"/>
    <w:rsid w:val="004C4685"/>
    <w:rsid w:val="004C6D8E"/>
    <w:rsid w:val="004C7C2C"/>
    <w:rsid w:val="004D1EE9"/>
    <w:rsid w:val="004D2689"/>
    <w:rsid w:val="004D30E3"/>
    <w:rsid w:val="004D50FC"/>
    <w:rsid w:val="004D62F1"/>
    <w:rsid w:val="004D6864"/>
    <w:rsid w:val="004D6B56"/>
    <w:rsid w:val="004D7733"/>
    <w:rsid w:val="004E0444"/>
    <w:rsid w:val="004E4652"/>
    <w:rsid w:val="004E604B"/>
    <w:rsid w:val="004E66D4"/>
    <w:rsid w:val="004E7A5E"/>
    <w:rsid w:val="004F0340"/>
    <w:rsid w:val="004F25F2"/>
    <w:rsid w:val="004F263D"/>
    <w:rsid w:val="004F70E5"/>
    <w:rsid w:val="005010DF"/>
    <w:rsid w:val="0050266E"/>
    <w:rsid w:val="00503F03"/>
    <w:rsid w:val="00504B01"/>
    <w:rsid w:val="00506D32"/>
    <w:rsid w:val="00507CF6"/>
    <w:rsid w:val="005112F8"/>
    <w:rsid w:val="00511C7E"/>
    <w:rsid w:val="005125A1"/>
    <w:rsid w:val="00514E42"/>
    <w:rsid w:val="00515BD0"/>
    <w:rsid w:val="00517949"/>
    <w:rsid w:val="0052330B"/>
    <w:rsid w:val="005234D4"/>
    <w:rsid w:val="00523FDE"/>
    <w:rsid w:val="00530D4D"/>
    <w:rsid w:val="00530ED9"/>
    <w:rsid w:val="005315F1"/>
    <w:rsid w:val="00534BCF"/>
    <w:rsid w:val="00536A95"/>
    <w:rsid w:val="005379A7"/>
    <w:rsid w:val="00542728"/>
    <w:rsid w:val="00545416"/>
    <w:rsid w:val="0055018B"/>
    <w:rsid w:val="005515D3"/>
    <w:rsid w:val="00552DC9"/>
    <w:rsid w:val="00555101"/>
    <w:rsid w:val="00556218"/>
    <w:rsid w:val="00556FC7"/>
    <w:rsid w:val="0055724C"/>
    <w:rsid w:val="00573C01"/>
    <w:rsid w:val="00573F61"/>
    <w:rsid w:val="00574169"/>
    <w:rsid w:val="00576B8F"/>
    <w:rsid w:val="00581DCE"/>
    <w:rsid w:val="0058313C"/>
    <w:rsid w:val="00583CB2"/>
    <w:rsid w:val="005856C9"/>
    <w:rsid w:val="00585EC3"/>
    <w:rsid w:val="005860D4"/>
    <w:rsid w:val="005918A6"/>
    <w:rsid w:val="0059226C"/>
    <w:rsid w:val="00593BF4"/>
    <w:rsid w:val="00597D75"/>
    <w:rsid w:val="00597EBF"/>
    <w:rsid w:val="005A2108"/>
    <w:rsid w:val="005A2D88"/>
    <w:rsid w:val="005A3CED"/>
    <w:rsid w:val="005B15EB"/>
    <w:rsid w:val="005B479E"/>
    <w:rsid w:val="005B6FF4"/>
    <w:rsid w:val="005B7A93"/>
    <w:rsid w:val="005C57AF"/>
    <w:rsid w:val="005C62CE"/>
    <w:rsid w:val="005C63C1"/>
    <w:rsid w:val="005C6B75"/>
    <w:rsid w:val="005D0F71"/>
    <w:rsid w:val="005D12A2"/>
    <w:rsid w:val="005D1B2A"/>
    <w:rsid w:val="005D4622"/>
    <w:rsid w:val="005D4732"/>
    <w:rsid w:val="005D5DC5"/>
    <w:rsid w:val="005D6109"/>
    <w:rsid w:val="005D6804"/>
    <w:rsid w:val="005D78C0"/>
    <w:rsid w:val="005E022B"/>
    <w:rsid w:val="005E1E4B"/>
    <w:rsid w:val="005E3AE7"/>
    <w:rsid w:val="005E478C"/>
    <w:rsid w:val="005E5E66"/>
    <w:rsid w:val="005E5E7F"/>
    <w:rsid w:val="005E691F"/>
    <w:rsid w:val="005E7278"/>
    <w:rsid w:val="005F0C8A"/>
    <w:rsid w:val="005F1F55"/>
    <w:rsid w:val="005F33C1"/>
    <w:rsid w:val="005F480B"/>
    <w:rsid w:val="005F51E5"/>
    <w:rsid w:val="005F5A4A"/>
    <w:rsid w:val="005F5DEB"/>
    <w:rsid w:val="005F5EC7"/>
    <w:rsid w:val="005F66BB"/>
    <w:rsid w:val="005F6D46"/>
    <w:rsid w:val="00600145"/>
    <w:rsid w:val="006028C4"/>
    <w:rsid w:val="00602A25"/>
    <w:rsid w:val="00604C75"/>
    <w:rsid w:val="006103BE"/>
    <w:rsid w:val="00610D70"/>
    <w:rsid w:val="0061133E"/>
    <w:rsid w:val="006113DD"/>
    <w:rsid w:val="006116FF"/>
    <w:rsid w:val="00612ED3"/>
    <w:rsid w:val="00615C2E"/>
    <w:rsid w:val="00615CA0"/>
    <w:rsid w:val="0061650C"/>
    <w:rsid w:val="006227E0"/>
    <w:rsid w:val="006234F5"/>
    <w:rsid w:val="00626128"/>
    <w:rsid w:val="0062778B"/>
    <w:rsid w:val="00631F56"/>
    <w:rsid w:val="0063445B"/>
    <w:rsid w:val="00634B3A"/>
    <w:rsid w:val="006357CC"/>
    <w:rsid w:val="00635897"/>
    <w:rsid w:val="00635C6E"/>
    <w:rsid w:val="00637902"/>
    <w:rsid w:val="00642822"/>
    <w:rsid w:val="006518A3"/>
    <w:rsid w:val="00657632"/>
    <w:rsid w:val="00661D2E"/>
    <w:rsid w:val="0066480A"/>
    <w:rsid w:val="00667E80"/>
    <w:rsid w:val="00667ED4"/>
    <w:rsid w:val="006705CF"/>
    <w:rsid w:val="00672AB8"/>
    <w:rsid w:val="006774A7"/>
    <w:rsid w:val="00677CF9"/>
    <w:rsid w:val="006809BB"/>
    <w:rsid w:val="00680E78"/>
    <w:rsid w:val="00681EE8"/>
    <w:rsid w:val="00682D7D"/>
    <w:rsid w:val="00683E7C"/>
    <w:rsid w:val="006850F2"/>
    <w:rsid w:val="0068524F"/>
    <w:rsid w:val="00685A1E"/>
    <w:rsid w:val="00685A5B"/>
    <w:rsid w:val="00686A0D"/>
    <w:rsid w:val="00687FD2"/>
    <w:rsid w:val="00690DAF"/>
    <w:rsid w:val="00693B90"/>
    <w:rsid w:val="00694D53"/>
    <w:rsid w:val="006A3BD4"/>
    <w:rsid w:val="006B339C"/>
    <w:rsid w:val="006B3BAB"/>
    <w:rsid w:val="006B4203"/>
    <w:rsid w:val="006B5E35"/>
    <w:rsid w:val="006B6B81"/>
    <w:rsid w:val="006C17B4"/>
    <w:rsid w:val="006C1DE2"/>
    <w:rsid w:val="006C2B80"/>
    <w:rsid w:val="006C4AA1"/>
    <w:rsid w:val="006C4C2E"/>
    <w:rsid w:val="006C51D0"/>
    <w:rsid w:val="006C6F86"/>
    <w:rsid w:val="006C7AF5"/>
    <w:rsid w:val="006D0A65"/>
    <w:rsid w:val="006D0F82"/>
    <w:rsid w:val="006D2053"/>
    <w:rsid w:val="006E0F8E"/>
    <w:rsid w:val="006E3EE6"/>
    <w:rsid w:val="006E4596"/>
    <w:rsid w:val="006E5419"/>
    <w:rsid w:val="006E630E"/>
    <w:rsid w:val="006E6A14"/>
    <w:rsid w:val="006E7C2F"/>
    <w:rsid w:val="006F26AC"/>
    <w:rsid w:val="006F419B"/>
    <w:rsid w:val="006F478D"/>
    <w:rsid w:val="006F5368"/>
    <w:rsid w:val="006F5B5F"/>
    <w:rsid w:val="006F777B"/>
    <w:rsid w:val="00700C9C"/>
    <w:rsid w:val="007017A2"/>
    <w:rsid w:val="00702724"/>
    <w:rsid w:val="00712F40"/>
    <w:rsid w:val="00714098"/>
    <w:rsid w:val="007168CF"/>
    <w:rsid w:val="00717F5D"/>
    <w:rsid w:val="00720E25"/>
    <w:rsid w:val="00723042"/>
    <w:rsid w:val="0072344F"/>
    <w:rsid w:val="00724A90"/>
    <w:rsid w:val="0072567B"/>
    <w:rsid w:val="0072786A"/>
    <w:rsid w:val="0073289B"/>
    <w:rsid w:val="007351E6"/>
    <w:rsid w:val="007357FB"/>
    <w:rsid w:val="00735D81"/>
    <w:rsid w:val="00735F2A"/>
    <w:rsid w:val="007364EF"/>
    <w:rsid w:val="00736B5B"/>
    <w:rsid w:val="00740AB4"/>
    <w:rsid w:val="00741E3D"/>
    <w:rsid w:val="007448BB"/>
    <w:rsid w:val="007450DB"/>
    <w:rsid w:val="00746AB7"/>
    <w:rsid w:val="00752322"/>
    <w:rsid w:val="0075354B"/>
    <w:rsid w:val="00753D6A"/>
    <w:rsid w:val="00755048"/>
    <w:rsid w:val="0076119D"/>
    <w:rsid w:val="007614A5"/>
    <w:rsid w:val="00762380"/>
    <w:rsid w:val="007633DE"/>
    <w:rsid w:val="00766939"/>
    <w:rsid w:val="007701F3"/>
    <w:rsid w:val="00772216"/>
    <w:rsid w:val="007744A2"/>
    <w:rsid w:val="00774C0A"/>
    <w:rsid w:val="00776EF5"/>
    <w:rsid w:val="0077743C"/>
    <w:rsid w:val="00780379"/>
    <w:rsid w:val="007810D6"/>
    <w:rsid w:val="00786FBD"/>
    <w:rsid w:val="00787881"/>
    <w:rsid w:val="00790427"/>
    <w:rsid w:val="00791033"/>
    <w:rsid w:val="00791111"/>
    <w:rsid w:val="007925F4"/>
    <w:rsid w:val="00792D4F"/>
    <w:rsid w:val="00795917"/>
    <w:rsid w:val="0079614D"/>
    <w:rsid w:val="0079721D"/>
    <w:rsid w:val="007A043B"/>
    <w:rsid w:val="007A4DBA"/>
    <w:rsid w:val="007A528C"/>
    <w:rsid w:val="007A6CEE"/>
    <w:rsid w:val="007A7DCD"/>
    <w:rsid w:val="007B0BE4"/>
    <w:rsid w:val="007B1400"/>
    <w:rsid w:val="007B26B9"/>
    <w:rsid w:val="007B388D"/>
    <w:rsid w:val="007B4206"/>
    <w:rsid w:val="007B5D7A"/>
    <w:rsid w:val="007C0BB0"/>
    <w:rsid w:val="007C1DC6"/>
    <w:rsid w:val="007C554E"/>
    <w:rsid w:val="007C6BFC"/>
    <w:rsid w:val="007D391E"/>
    <w:rsid w:val="007D4885"/>
    <w:rsid w:val="007D5A44"/>
    <w:rsid w:val="007D671A"/>
    <w:rsid w:val="007E1A3C"/>
    <w:rsid w:val="007E1A8F"/>
    <w:rsid w:val="007E1F42"/>
    <w:rsid w:val="007E251A"/>
    <w:rsid w:val="007E2E16"/>
    <w:rsid w:val="007E41A2"/>
    <w:rsid w:val="007E4E1F"/>
    <w:rsid w:val="007E667A"/>
    <w:rsid w:val="007E6ECE"/>
    <w:rsid w:val="007E703A"/>
    <w:rsid w:val="007E7556"/>
    <w:rsid w:val="007E7D79"/>
    <w:rsid w:val="007F0BA3"/>
    <w:rsid w:val="007F2B97"/>
    <w:rsid w:val="007F43E7"/>
    <w:rsid w:val="007F462B"/>
    <w:rsid w:val="007F7D13"/>
    <w:rsid w:val="007F7E2C"/>
    <w:rsid w:val="00800745"/>
    <w:rsid w:val="00802AD3"/>
    <w:rsid w:val="00804930"/>
    <w:rsid w:val="00804E74"/>
    <w:rsid w:val="00810A67"/>
    <w:rsid w:val="00812ABD"/>
    <w:rsid w:val="008130FA"/>
    <w:rsid w:val="00813916"/>
    <w:rsid w:val="00814E85"/>
    <w:rsid w:val="008157FA"/>
    <w:rsid w:val="008173FD"/>
    <w:rsid w:val="00817977"/>
    <w:rsid w:val="00824160"/>
    <w:rsid w:val="0082502F"/>
    <w:rsid w:val="00827FB8"/>
    <w:rsid w:val="008324D2"/>
    <w:rsid w:val="008338E4"/>
    <w:rsid w:val="00834387"/>
    <w:rsid w:val="00835175"/>
    <w:rsid w:val="008358C1"/>
    <w:rsid w:val="008362C8"/>
    <w:rsid w:val="00837553"/>
    <w:rsid w:val="0084218B"/>
    <w:rsid w:val="00843115"/>
    <w:rsid w:val="00844216"/>
    <w:rsid w:val="008456DB"/>
    <w:rsid w:val="008465E5"/>
    <w:rsid w:val="00847DF8"/>
    <w:rsid w:val="008520B0"/>
    <w:rsid w:val="00852983"/>
    <w:rsid w:val="00855DFD"/>
    <w:rsid w:val="00855E52"/>
    <w:rsid w:val="008575E2"/>
    <w:rsid w:val="00863644"/>
    <w:rsid w:val="008701CA"/>
    <w:rsid w:val="00870DCF"/>
    <w:rsid w:val="0087172D"/>
    <w:rsid w:val="00873241"/>
    <w:rsid w:val="008734A4"/>
    <w:rsid w:val="008743B4"/>
    <w:rsid w:val="0087469E"/>
    <w:rsid w:val="00876678"/>
    <w:rsid w:val="008774B8"/>
    <w:rsid w:val="00880AA6"/>
    <w:rsid w:val="00880F42"/>
    <w:rsid w:val="00880F8E"/>
    <w:rsid w:val="00881F96"/>
    <w:rsid w:val="0088552D"/>
    <w:rsid w:val="0088646A"/>
    <w:rsid w:val="0088719A"/>
    <w:rsid w:val="008903E3"/>
    <w:rsid w:val="00892565"/>
    <w:rsid w:val="008937BD"/>
    <w:rsid w:val="00894BFE"/>
    <w:rsid w:val="0089733B"/>
    <w:rsid w:val="008A1166"/>
    <w:rsid w:val="008A1959"/>
    <w:rsid w:val="008A2103"/>
    <w:rsid w:val="008A3161"/>
    <w:rsid w:val="008A3187"/>
    <w:rsid w:val="008A509F"/>
    <w:rsid w:val="008A6227"/>
    <w:rsid w:val="008A69DC"/>
    <w:rsid w:val="008B13C7"/>
    <w:rsid w:val="008B3099"/>
    <w:rsid w:val="008B3769"/>
    <w:rsid w:val="008B4262"/>
    <w:rsid w:val="008B75D3"/>
    <w:rsid w:val="008C1EA8"/>
    <w:rsid w:val="008C2CE2"/>
    <w:rsid w:val="008C3655"/>
    <w:rsid w:val="008C4A22"/>
    <w:rsid w:val="008C4C96"/>
    <w:rsid w:val="008C5763"/>
    <w:rsid w:val="008C5948"/>
    <w:rsid w:val="008C5DB4"/>
    <w:rsid w:val="008C6A0A"/>
    <w:rsid w:val="008D0F47"/>
    <w:rsid w:val="008D1248"/>
    <w:rsid w:val="008D2643"/>
    <w:rsid w:val="008D58A7"/>
    <w:rsid w:val="008D5AC1"/>
    <w:rsid w:val="008E2484"/>
    <w:rsid w:val="008E2C51"/>
    <w:rsid w:val="008E35A6"/>
    <w:rsid w:val="008E49F9"/>
    <w:rsid w:val="008E5E41"/>
    <w:rsid w:val="008E71FD"/>
    <w:rsid w:val="008E7385"/>
    <w:rsid w:val="008F08D5"/>
    <w:rsid w:val="008F190E"/>
    <w:rsid w:val="008F2702"/>
    <w:rsid w:val="008F513C"/>
    <w:rsid w:val="008F5CD4"/>
    <w:rsid w:val="008F7CE6"/>
    <w:rsid w:val="008F7D71"/>
    <w:rsid w:val="00900418"/>
    <w:rsid w:val="00901725"/>
    <w:rsid w:val="0090206F"/>
    <w:rsid w:val="00902E8B"/>
    <w:rsid w:val="00903BB7"/>
    <w:rsid w:val="009044C6"/>
    <w:rsid w:val="00904E68"/>
    <w:rsid w:val="00910FF8"/>
    <w:rsid w:val="0091250A"/>
    <w:rsid w:val="00912F82"/>
    <w:rsid w:val="00915001"/>
    <w:rsid w:val="00915AF0"/>
    <w:rsid w:val="00916DAD"/>
    <w:rsid w:val="00917017"/>
    <w:rsid w:val="009173FB"/>
    <w:rsid w:val="00917436"/>
    <w:rsid w:val="00917B97"/>
    <w:rsid w:val="00920045"/>
    <w:rsid w:val="0092358E"/>
    <w:rsid w:val="00923A9F"/>
    <w:rsid w:val="00925210"/>
    <w:rsid w:val="00925606"/>
    <w:rsid w:val="00925CAC"/>
    <w:rsid w:val="00925F38"/>
    <w:rsid w:val="00931A80"/>
    <w:rsid w:val="00931EEF"/>
    <w:rsid w:val="00935A9A"/>
    <w:rsid w:val="009368C9"/>
    <w:rsid w:val="0094031D"/>
    <w:rsid w:val="0094072F"/>
    <w:rsid w:val="00940743"/>
    <w:rsid w:val="009411DB"/>
    <w:rsid w:val="009420EC"/>
    <w:rsid w:val="00942C9A"/>
    <w:rsid w:val="00943D23"/>
    <w:rsid w:val="009467D3"/>
    <w:rsid w:val="0095211E"/>
    <w:rsid w:val="009524F6"/>
    <w:rsid w:val="00952CC3"/>
    <w:rsid w:val="00954B14"/>
    <w:rsid w:val="00961ED2"/>
    <w:rsid w:val="0096348F"/>
    <w:rsid w:val="0096436A"/>
    <w:rsid w:val="009735BE"/>
    <w:rsid w:val="00974372"/>
    <w:rsid w:val="00974664"/>
    <w:rsid w:val="009747F4"/>
    <w:rsid w:val="009767B1"/>
    <w:rsid w:val="00977803"/>
    <w:rsid w:val="009800C4"/>
    <w:rsid w:val="009805FE"/>
    <w:rsid w:val="009839C7"/>
    <w:rsid w:val="009846B7"/>
    <w:rsid w:val="00985917"/>
    <w:rsid w:val="00987EA6"/>
    <w:rsid w:val="00991BAB"/>
    <w:rsid w:val="00993CCA"/>
    <w:rsid w:val="009953CD"/>
    <w:rsid w:val="009A122C"/>
    <w:rsid w:val="009A23F9"/>
    <w:rsid w:val="009A6FD0"/>
    <w:rsid w:val="009A72EF"/>
    <w:rsid w:val="009C0C27"/>
    <w:rsid w:val="009C15E7"/>
    <w:rsid w:val="009C1CB2"/>
    <w:rsid w:val="009C1EB6"/>
    <w:rsid w:val="009C35E6"/>
    <w:rsid w:val="009C370F"/>
    <w:rsid w:val="009C46DD"/>
    <w:rsid w:val="009C728A"/>
    <w:rsid w:val="009D1B7F"/>
    <w:rsid w:val="009D2F9D"/>
    <w:rsid w:val="009D3241"/>
    <w:rsid w:val="009D681E"/>
    <w:rsid w:val="009F08AE"/>
    <w:rsid w:val="009F336D"/>
    <w:rsid w:val="009F527A"/>
    <w:rsid w:val="009F7ABC"/>
    <w:rsid w:val="00A00085"/>
    <w:rsid w:val="00A01019"/>
    <w:rsid w:val="00A01DA0"/>
    <w:rsid w:val="00A03E5A"/>
    <w:rsid w:val="00A057FA"/>
    <w:rsid w:val="00A06157"/>
    <w:rsid w:val="00A06A7C"/>
    <w:rsid w:val="00A073CD"/>
    <w:rsid w:val="00A10524"/>
    <w:rsid w:val="00A1193F"/>
    <w:rsid w:val="00A127BB"/>
    <w:rsid w:val="00A136A4"/>
    <w:rsid w:val="00A14E19"/>
    <w:rsid w:val="00A150F1"/>
    <w:rsid w:val="00A15690"/>
    <w:rsid w:val="00A21A24"/>
    <w:rsid w:val="00A21D81"/>
    <w:rsid w:val="00A21E20"/>
    <w:rsid w:val="00A23DB3"/>
    <w:rsid w:val="00A306A5"/>
    <w:rsid w:val="00A32D49"/>
    <w:rsid w:val="00A33F56"/>
    <w:rsid w:val="00A342B0"/>
    <w:rsid w:val="00A43DD5"/>
    <w:rsid w:val="00A44451"/>
    <w:rsid w:val="00A459AB"/>
    <w:rsid w:val="00A4638F"/>
    <w:rsid w:val="00A476F0"/>
    <w:rsid w:val="00A5342F"/>
    <w:rsid w:val="00A555B8"/>
    <w:rsid w:val="00A558A2"/>
    <w:rsid w:val="00A55D01"/>
    <w:rsid w:val="00A60B28"/>
    <w:rsid w:val="00A61483"/>
    <w:rsid w:val="00A63581"/>
    <w:rsid w:val="00A67827"/>
    <w:rsid w:val="00A7348F"/>
    <w:rsid w:val="00A73A3A"/>
    <w:rsid w:val="00A74105"/>
    <w:rsid w:val="00A7443E"/>
    <w:rsid w:val="00A76B02"/>
    <w:rsid w:val="00A7788D"/>
    <w:rsid w:val="00A7789B"/>
    <w:rsid w:val="00A82F02"/>
    <w:rsid w:val="00A8382B"/>
    <w:rsid w:val="00A85A99"/>
    <w:rsid w:val="00A8610A"/>
    <w:rsid w:val="00A900D0"/>
    <w:rsid w:val="00A90452"/>
    <w:rsid w:val="00A911D1"/>
    <w:rsid w:val="00A91912"/>
    <w:rsid w:val="00A9236D"/>
    <w:rsid w:val="00A931A6"/>
    <w:rsid w:val="00A9495F"/>
    <w:rsid w:val="00AA18AF"/>
    <w:rsid w:val="00AA1C85"/>
    <w:rsid w:val="00AA2FC3"/>
    <w:rsid w:val="00AA3732"/>
    <w:rsid w:val="00AA3CB4"/>
    <w:rsid w:val="00AA4805"/>
    <w:rsid w:val="00AA4D3B"/>
    <w:rsid w:val="00AB047A"/>
    <w:rsid w:val="00AB1071"/>
    <w:rsid w:val="00AB61B0"/>
    <w:rsid w:val="00AB7F9E"/>
    <w:rsid w:val="00AC07E8"/>
    <w:rsid w:val="00AC099F"/>
    <w:rsid w:val="00AC1D2D"/>
    <w:rsid w:val="00AC1EC5"/>
    <w:rsid w:val="00AC52C1"/>
    <w:rsid w:val="00AC7022"/>
    <w:rsid w:val="00AC78F4"/>
    <w:rsid w:val="00AC7C88"/>
    <w:rsid w:val="00AD0270"/>
    <w:rsid w:val="00AD07DF"/>
    <w:rsid w:val="00AD1D2F"/>
    <w:rsid w:val="00AD27F4"/>
    <w:rsid w:val="00AD3292"/>
    <w:rsid w:val="00AD3D0A"/>
    <w:rsid w:val="00AD4381"/>
    <w:rsid w:val="00AD73AE"/>
    <w:rsid w:val="00AE0889"/>
    <w:rsid w:val="00AE0AD7"/>
    <w:rsid w:val="00AE1993"/>
    <w:rsid w:val="00AE1DDD"/>
    <w:rsid w:val="00AE3C96"/>
    <w:rsid w:val="00AE46B4"/>
    <w:rsid w:val="00AE5417"/>
    <w:rsid w:val="00AE7104"/>
    <w:rsid w:val="00AE771B"/>
    <w:rsid w:val="00AE7D0D"/>
    <w:rsid w:val="00AE7EDC"/>
    <w:rsid w:val="00AF05B7"/>
    <w:rsid w:val="00AF0716"/>
    <w:rsid w:val="00AF35C4"/>
    <w:rsid w:val="00AF43AC"/>
    <w:rsid w:val="00AF67C9"/>
    <w:rsid w:val="00AF6F36"/>
    <w:rsid w:val="00AF74BD"/>
    <w:rsid w:val="00B00F80"/>
    <w:rsid w:val="00B02BE2"/>
    <w:rsid w:val="00B02E97"/>
    <w:rsid w:val="00B04B07"/>
    <w:rsid w:val="00B05420"/>
    <w:rsid w:val="00B07540"/>
    <w:rsid w:val="00B1450A"/>
    <w:rsid w:val="00B1468C"/>
    <w:rsid w:val="00B14B88"/>
    <w:rsid w:val="00B15F84"/>
    <w:rsid w:val="00B16549"/>
    <w:rsid w:val="00B16D43"/>
    <w:rsid w:val="00B173BD"/>
    <w:rsid w:val="00B20BFD"/>
    <w:rsid w:val="00B20C06"/>
    <w:rsid w:val="00B2175B"/>
    <w:rsid w:val="00B23B33"/>
    <w:rsid w:val="00B2413D"/>
    <w:rsid w:val="00B241CC"/>
    <w:rsid w:val="00B26C60"/>
    <w:rsid w:val="00B2770B"/>
    <w:rsid w:val="00B30268"/>
    <w:rsid w:val="00B3628F"/>
    <w:rsid w:val="00B40BD5"/>
    <w:rsid w:val="00B40EC0"/>
    <w:rsid w:val="00B45311"/>
    <w:rsid w:val="00B50131"/>
    <w:rsid w:val="00B5050E"/>
    <w:rsid w:val="00B50C09"/>
    <w:rsid w:val="00B51199"/>
    <w:rsid w:val="00B55CD4"/>
    <w:rsid w:val="00B569D7"/>
    <w:rsid w:val="00B573AA"/>
    <w:rsid w:val="00B57B4E"/>
    <w:rsid w:val="00B61238"/>
    <w:rsid w:val="00B6294D"/>
    <w:rsid w:val="00B62C8A"/>
    <w:rsid w:val="00B657BD"/>
    <w:rsid w:val="00B66A5E"/>
    <w:rsid w:val="00B66ABD"/>
    <w:rsid w:val="00B70200"/>
    <w:rsid w:val="00B71934"/>
    <w:rsid w:val="00B74815"/>
    <w:rsid w:val="00B74B43"/>
    <w:rsid w:val="00B74EE7"/>
    <w:rsid w:val="00B770D4"/>
    <w:rsid w:val="00B812DD"/>
    <w:rsid w:val="00B833FB"/>
    <w:rsid w:val="00B85F84"/>
    <w:rsid w:val="00B8611D"/>
    <w:rsid w:val="00B87364"/>
    <w:rsid w:val="00B876B1"/>
    <w:rsid w:val="00B91050"/>
    <w:rsid w:val="00B922BC"/>
    <w:rsid w:val="00B929EB"/>
    <w:rsid w:val="00B93A3F"/>
    <w:rsid w:val="00B93D45"/>
    <w:rsid w:val="00B93FB3"/>
    <w:rsid w:val="00B94E02"/>
    <w:rsid w:val="00B977E7"/>
    <w:rsid w:val="00BA2DCD"/>
    <w:rsid w:val="00BA40BC"/>
    <w:rsid w:val="00BA5A58"/>
    <w:rsid w:val="00BA6D2B"/>
    <w:rsid w:val="00BB009A"/>
    <w:rsid w:val="00BB09B6"/>
    <w:rsid w:val="00BB19CE"/>
    <w:rsid w:val="00BB2208"/>
    <w:rsid w:val="00BB343D"/>
    <w:rsid w:val="00BB3AE1"/>
    <w:rsid w:val="00BB3C9D"/>
    <w:rsid w:val="00BB4A6D"/>
    <w:rsid w:val="00BB72CE"/>
    <w:rsid w:val="00BB7BAF"/>
    <w:rsid w:val="00BB7CD2"/>
    <w:rsid w:val="00BC05CE"/>
    <w:rsid w:val="00BC1C97"/>
    <w:rsid w:val="00BC1F7A"/>
    <w:rsid w:val="00BC2C65"/>
    <w:rsid w:val="00BC2E72"/>
    <w:rsid w:val="00BD0090"/>
    <w:rsid w:val="00BD0AE4"/>
    <w:rsid w:val="00BD1284"/>
    <w:rsid w:val="00BD4621"/>
    <w:rsid w:val="00BD4D32"/>
    <w:rsid w:val="00BD57CA"/>
    <w:rsid w:val="00BD5823"/>
    <w:rsid w:val="00BD5C3B"/>
    <w:rsid w:val="00BE0D44"/>
    <w:rsid w:val="00BE29F9"/>
    <w:rsid w:val="00BE338A"/>
    <w:rsid w:val="00BE4734"/>
    <w:rsid w:val="00BE663E"/>
    <w:rsid w:val="00BF10A2"/>
    <w:rsid w:val="00BF192D"/>
    <w:rsid w:val="00BF2312"/>
    <w:rsid w:val="00BF3B60"/>
    <w:rsid w:val="00BF41EE"/>
    <w:rsid w:val="00BF6681"/>
    <w:rsid w:val="00C006C5"/>
    <w:rsid w:val="00C01474"/>
    <w:rsid w:val="00C015BD"/>
    <w:rsid w:val="00C04BE4"/>
    <w:rsid w:val="00C05588"/>
    <w:rsid w:val="00C056A8"/>
    <w:rsid w:val="00C05915"/>
    <w:rsid w:val="00C05D9E"/>
    <w:rsid w:val="00C10F74"/>
    <w:rsid w:val="00C13EDA"/>
    <w:rsid w:val="00C145E1"/>
    <w:rsid w:val="00C16F9D"/>
    <w:rsid w:val="00C22539"/>
    <w:rsid w:val="00C22AA8"/>
    <w:rsid w:val="00C23EEC"/>
    <w:rsid w:val="00C25263"/>
    <w:rsid w:val="00C33D63"/>
    <w:rsid w:val="00C35D50"/>
    <w:rsid w:val="00C36FE1"/>
    <w:rsid w:val="00C411FC"/>
    <w:rsid w:val="00C46759"/>
    <w:rsid w:val="00C4703E"/>
    <w:rsid w:val="00C5036E"/>
    <w:rsid w:val="00C509B3"/>
    <w:rsid w:val="00C50BF6"/>
    <w:rsid w:val="00C531D8"/>
    <w:rsid w:val="00C535E9"/>
    <w:rsid w:val="00C56374"/>
    <w:rsid w:val="00C56490"/>
    <w:rsid w:val="00C567AF"/>
    <w:rsid w:val="00C56A9B"/>
    <w:rsid w:val="00C57661"/>
    <w:rsid w:val="00C600D1"/>
    <w:rsid w:val="00C63E65"/>
    <w:rsid w:val="00C63E8E"/>
    <w:rsid w:val="00C70198"/>
    <w:rsid w:val="00C705E8"/>
    <w:rsid w:val="00C70D6E"/>
    <w:rsid w:val="00C72145"/>
    <w:rsid w:val="00C72223"/>
    <w:rsid w:val="00C7518D"/>
    <w:rsid w:val="00C7665B"/>
    <w:rsid w:val="00C7768E"/>
    <w:rsid w:val="00C801F3"/>
    <w:rsid w:val="00C839E3"/>
    <w:rsid w:val="00C85403"/>
    <w:rsid w:val="00C86C20"/>
    <w:rsid w:val="00C87403"/>
    <w:rsid w:val="00C876C8"/>
    <w:rsid w:val="00C8770A"/>
    <w:rsid w:val="00C91922"/>
    <w:rsid w:val="00C93509"/>
    <w:rsid w:val="00C95782"/>
    <w:rsid w:val="00C95DE6"/>
    <w:rsid w:val="00C96609"/>
    <w:rsid w:val="00C96653"/>
    <w:rsid w:val="00CA0F10"/>
    <w:rsid w:val="00CA22DF"/>
    <w:rsid w:val="00CA256A"/>
    <w:rsid w:val="00CA42A2"/>
    <w:rsid w:val="00CA5764"/>
    <w:rsid w:val="00CA72E8"/>
    <w:rsid w:val="00CB0F51"/>
    <w:rsid w:val="00CB37D4"/>
    <w:rsid w:val="00CB3B64"/>
    <w:rsid w:val="00CB41B2"/>
    <w:rsid w:val="00CB424D"/>
    <w:rsid w:val="00CB55E8"/>
    <w:rsid w:val="00CB5EB3"/>
    <w:rsid w:val="00CC17BB"/>
    <w:rsid w:val="00CC21DE"/>
    <w:rsid w:val="00CC7949"/>
    <w:rsid w:val="00CD01E7"/>
    <w:rsid w:val="00CD2E85"/>
    <w:rsid w:val="00CD349E"/>
    <w:rsid w:val="00CD3DB7"/>
    <w:rsid w:val="00CD4148"/>
    <w:rsid w:val="00CE40C8"/>
    <w:rsid w:val="00CE4949"/>
    <w:rsid w:val="00CE4C11"/>
    <w:rsid w:val="00CE4FD4"/>
    <w:rsid w:val="00CE52F5"/>
    <w:rsid w:val="00CE58E7"/>
    <w:rsid w:val="00CE7F93"/>
    <w:rsid w:val="00CF0EC6"/>
    <w:rsid w:val="00CF260F"/>
    <w:rsid w:val="00CF2921"/>
    <w:rsid w:val="00CF5A3F"/>
    <w:rsid w:val="00CF7A7E"/>
    <w:rsid w:val="00D04FF8"/>
    <w:rsid w:val="00D0550B"/>
    <w:rsid w:val="00D05C28"/>
    <w:rsid w:val="00D1123E"/>
    <w:rsid w:val="00D11C6D"/>
    <w:rsid w:val="00D132EF"/>
    <w:rsid w:val="00D140A4"/>
    <w:rsid w:val="00D140B4"/>
    <w:rsid w:val="00D16886"/>
    <w:rsid w:val="00D17DF3"/>
    <w:rsid w:val="00D2542E"/>
    <w:rsid w:val="00D27779"/>
    <w:rsid w:val="00D30048"/>
    <w:rsid w:val="00D31A0C"/>
    <w:rsid w:val="00D34AB9"/>
    <w:rsid w:val="00D35C9E"/>
    <w:rsid w:val="00D36CC7"/>
    <w:rsid w:val="00D407AA"/>
    <w:rsid w:val="00D41BC0"/>
    <w:rsid w:val="00D425E5"/>
    <w:rsid w:val="00D42967"/>
    <w:rsid w:val="00D455F3"/>
    <w:rsid w:val="00D45E8C"/>
    <w:rsid w:val="00D4753E"/>
    <w:rsid w:val="00D50ED2"/>
    <w:rsid w:val="00D532B9"/>
    <w:rsid w:val="00D53D0A"/>
    <w:rsid w:val="00D56836"/>
    <w:rsid w:val="00D56ECC"/>
    <w:rsid w:val="00D61386"/>
    <w:rsid w:val="00D61700"/>
    <w:rsid w:val="00D62B34"/>
    <w:rsid w:val="00D64C5A"/>
    <w:rsid w:val="00D654FB"/>
    <w:rsid w:val="00D707B7"/>
    <w:rsid w:val="00D7171C"/>
    <w:rsid w:val="00D728D0"/>
    <w:rsid w:val="00D76225"/>
    <w:rsid w:val="00D76DEE"/>
    <w:rsid w:val="00D81079"/>
    <w:rsid w:val="00D82487"/>
    <w:rsid w:val="00D82702"/>
    <w:rsid w:val="00D85231"/>
    <w:rsid w:val="00D857A7"/>
    <w:rsid w:val="00D857D6"/>
    <w:rsid w:val="00D86996"/>
    <w:rsid w:val="00D90AA6"/>
    <w:rsid w:val="00D915D5"/>
    <w:rsid w:val="00D91B83"/>
    <w:rsid w:val="00D92745"/>
    <w:rsid w:val="00D92A95"/>
    <w:rsid w:val="00D94A5D"/>
    <w:rsid w:val="00D951D9"/>
    <w:rsid w:val="00D95AC7"/>
    <w:rsid w:val="00DA2197"/>
    <w:rsid w:val="00DA38E6"/>
    <w:rsid w:val="00DB1092"/>
    <w:rsid w:val="00DB1D90"/>
    <w:rsid w:val="00DB277E"/>
    <w:rsid w:val="00DB2E87"/>
    <w:rsid w:val="00DB2F1C"/>
    <w:rsid w:val="00DB31D5"/>
    <w:rsid w:val="00DB42F1"/>
    <w:rsid w:val="00DB5FA9"/>
    <w:rsid w:val="00DB6EB9"/>
    <w:rsid w:val="00DC004E"/>
    <w:rsid w:val="00DC2E38"/>
    <w:rsid w:val="00DC30FB"/>
    <w:rsid w:val="00DC4BF6"/>
    <w:rsid w:val="00DC5970"/>
    <w:rsid w:val="00DD0856"/>
    <w:rsid w:val="00DD2358"/>
    <w:rsid w:val="00DD2551"/>
    <w:rsid w:val="00DD3B05"/>
    <w:rsid w:val="00DD3E12"/>
    <w:rsid w:val="00DD52F1"/>
    <w:rsid w:val="00DD5AF6"/>
    <w:rsid w:val="00DD651D"/>
    <w:rsid w:val="00DD7D15"/>
    <w:rsid w:val="00DE21F0"/>
    <w:rsid w:val="00DE2D15"/>
    <w:rsid w:val="00DF3340"/>
    <w:rsid w:val="00DF3D0A"/>
    <w:rsid w:val="00DF78A8"/>
    <w:rsid w:val="00DF7EEF"/>
    <w:rsid w:val="00E00DE3"/>
    <w:rsid w:val="00E01BF3"/>
    <w:rsid w:val="00E03141"/>
    <w:rsid w:val="00E06367"/>
    <w:rsid w:val="00E10AFC"/>
    <w:rsid w:val="00E11102"/>
    <w:rsid w:val="00E11B87"/>
    <w:rsid w:val="00E11F2D"/>
    <w:rsid w:val="00E1539E"/>
    <w:rsid w:val="00E17A00"/>
    <w:rsid w:val="00E205E2"/>
    <w:rsid w:val="00E22089"/>
    <w:rsid w:val="00E253D5"/>
    <w:rsid w:val="00E254B5"/>
    <w:rsid w:val="00E3000A"/>
    <w:rsid w:val="00E309BC"/>
    <w:rsid w:val="00E31816"/>
    <w:rsid w:val="00E31C6C"/>
    <w:rsid w:val="00E36CE7"/>
    <w:rsid w:val="00E42BF3"/>
    <w:rsid w:val="00E42FE9"/>
    <w:rsid w:val="00E45B74"/>
    <w:rsid w:val="00E50A72"/>
    <w:rsid w:val="00E53414"/>
    <w:rsid w:val="00E629C7"/>
    <w:rsid w:val="00E63BCA"/>
    <w:rsid w:val="00E64255"/>
    <w:rsid w:val="00E65A4B"/>
    <w:rsid w:val="00E6607F"/>
    <w:rsid w:val="00E6705E"/>
    <w:rsid w:val="00E67EB5"/>
    <w:rsid w:val="00E70348"/>
    <w:rsid w:val="00E703B0"/>
    <w:rsid w:val="00E71E46"/>
    <w:rsid w:val="00E74C47"/>
    <w:rsid w:val="00E76DC1"/>
    <w:rsid w:val="00E774A9"/>
    <w:rsid w:val="00E80504"/>
    <w:rsid w:val="00E815A4"/>
    <w:rsid w:val="00E81EEE"/>
    <w:rsid w:val="00E81F04"/>
    <w:rsid w:val="00E821EB"/>
    <w:rsid w:val="00E82451"/>
    <w:rsid w:val="00E825DB"/>
    <w:rsid w:val="00E83022"/>
    <w:rsid w:val="00E84DCC"/>
    <w:rsid w:val="00E9232D"/>
    <w:rsid w:val="00E93F9C"/>
    <w:rsid w:val="00E963D5"/>
    <w:rsid w:val="00E97C74"/>
    <w:rsid w:val="00E97D48"/>
    <w:rsid w:val="00EB099C"/>
    <w:rsid w:val="00EB439A"/>
    <w:rsid w:val="00EB4D47"/>
    <w:rsid w:val="00EB549C"/>
    <w:rsid w:val="00EB5B3B"/>
    <w:rsid w:val="00EB6D0A"/>
    <w:rsid w:val="00EB6EDD"/>
    <w:rsid w:val="00EB7D0C"/>
    <w:rsid w:val="00EC06A4"/>
    <w:rsid w:val="00EC0F59"/>
    <w:rsid w:val="00ED26CF"/>
    <w:rsid w:val="00ED2D38"/>
    <w:rsid w:val="00ED3301"/>
    <w:rsid w:val="00ED363E"/>
    <w:rsid w:val="00ED49B2"/>
    <w:rsid w:val="00ED647C"/>
    <w:rsid w:val="00ED719C"/>
    <w:rsid w:val="00ED7FAB"/>
    <w:rsid w:val="00EE0572"/>
    <w:rsid w:val="00EE3117"/>
    <w:rsid w:val="00EE3B3C"/>
    <w:rsid w:val="00EE5892"/>
    <w:rsid w:val="00EE5DF0"/>
    <w:rsid w:val="00EE6C6E"/>
    <w:rsid w:val="00EE7F8A"/>
    <w:rsid w:val="00EF22E5"/>
    <w:rsid w:val="00EF2D61"/>
    <w:rsid w:val="00EF4DF3"/>
    <w:rsid w:val="00EF701E"/>
    <w:rsid w:val="00F00983"/>
    <w:rsid w:val="00F00BF7"/>
    <w:rsid w:val="00F02DE5"/>
    <w:rsid w:val="00F05710"/>
    <w:rsid w:val="00F0630C"/>
    <w:rsid w:val="00F10B88"/>
    <w:rsid w:val="00F10CA9"/>
    <w:rsid w:val="00F1285A"/>
    <w:rsid w:val="00F12ACA"/>
    <w:rsid w:val="00F133CC"/>
    <w:rsid w:val="00F13C78"/>
    <w:rsid w:val="00F1489D"/>
    <w:rsid w:val="00F14CDC"/>
    <w:rsid w:val="00F16023"/>
    <w:rsid w:val="00F221D1"/>
    <w:rsid w:val="00F222FB"/>
    <w:rsid w:val="00F22479"/>
    <w:rsid w:val="00F228F7"/>
    <w:rsid w:val="00F23D75"/>
    <w:rsid w:val="00F25616"/>
    <w:rsid w:val="00F262E6"/>
    <w:rsid w:val="00F342FB"/>
    <w:rsid w:val="00F37E17"/>
    <w:rsid w:val="00F40823"/>
    <w:rsid w:val="00F409AE"/>
    <w:rsid w:val="00F4203F"/>
    <w:rsid w:val="00F42D8A"/>
    <w:rsid w:val="00F4693A"/>
    <w:rsid w:val="00F469C4"/>
    <w:rsid w:val="00F50453"/>
    <w:rsid w:val="00F510C3"/>
    <w:rsid w:val="00F53123"/>
    <w:rsid w:val="00F532F6"/>
    <w:rsid w:val="00F53B22"/>
    <w:rsid w:val="00F53BDF"/>
    <w:rsid w:val="00F541CC"/>
    <w:rsid w:val="00F54A96"/>
    <w:rsid w:val="00F56342"/>
    <w:rsid w:val="00F57311"/>
    <w:rsid w:val="00F60D78"/>
    <w:rsid w:val="00F643FD"/>
    <w:rsid w:val="00F65538"/>
    <w:rsid w:val="00F720C1"/>
    <w:rsid w:val="00F74EE1"/>
    <w:rsid w:val="00F76DE6"/>
    <w:rsid w:val="00F779AC"/>
    <w:rsid w:val="00F80E92"/>
    <w:rsid w:val="00F8480A"/>
    <w:rsid w:val="00F84AB8"/>
    <w:rsid w:val="00F879A8"/>
    <w:rsid w:val="00F91719"/>
    <w:rsid w:val="00F93650"/>
    <w:rsid w:val="00F93F94"/>
    <w:rsid w:val="00F97471"/>
    <w:rsid w:val="00F9763C"/>
    <w:rsid w:val="00FA026B"/>
    <w:rsid w:val="00FA2685"/>
    <w:rsid w:val="00FA50D9"/>
    <w:rsid w:val="00FA5452"/>
    <w:rsid w:val="00FA5751"/>
    <w:rsid w:val="00FB0A5C"/>
    <w:rsid w:val="00FB2388"/>
    <w:rsid w:val="00FB2462"/>
    <w:rsid w:val="00FB2B9B"/>
    <w:rsid w:val="00FB47EC"/>
    <w:rsid w:val="00FB4E92"/>
    <w:rsid w:val="00FB5D11"/>
    <w:rsid w:val="00FB6F66"/>
    <w:rsid w:val="00FB7242"/>
    <w:rsid w:val="00FC128F"/>
    <w:rsid w:val="00FC3A04"/>
    <w:rsid w:val="00FC3A0C"/>
    <w:rsid w:val="00FC53C2"/>
    <w:rsid w:val="00FC59B7"/>
    <w:rsid w:val="00FD31C3"/>
    <w:rsid w:val="00FD718A"/>
    <w:rsid w:val="00FE0555"/>
    <w:rsid w:val="00FE154C"/>
    <w:rsid w:val="00FE32D5"/>
    <w:rsid w:val="00FE3C05"/>
    <w:rsid w:val="00FE4FF3"/>
    <w:rsid w:val="00FF0855"/>
    <w:rsid w:val="00FF09E0"/>
    <w:rsid w:val="00FF30CF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809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5D0F7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85231"/>
    <w:rPr>
      <w:rFonts w:cs="Times New Roman"/>
    </w:rPr>
  </w:style>
  <w:style w:type="paragraph" w:styleId="Footer">
    <w:name w:val="footer"/>
    <w:basedOn w:val="Normal"/>
    <w:link w:val="FooterChar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85231"/>
    <w:rPr>
      <w:rFonts w:cs="Times New Roman"/>
    </w:rPr>
  </w:style>
  <w:style w:type="paragraph" w:styleId="NormalWeb">
    <w:name w:val="Normal (Web)"/>
    <w:basedOn w:val="Normal"/>
    <w:rsid w:val="003E16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6B42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4203"/>
    <w:rPr>
      <w:sz w:val="16"/>
      <w:szCs w:val="16"/>
    </w:rPr>
  </w:style>
  <w:style w:type="paragraph" w:styleId="CommentText">
    <w:name w:val="annotation text"/>
    <w:basedOn w:val="Normal"/>
    <w:semiHidden/>
    <w:rsid w:val="006B4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203"/>
    <w:rPr>
      <w:b/>
      <w:bCs/>
    </w:rPr>
  </w:style>
  <w:style w:type="paragraph" w:styleId="DocumentMap">
    <w:name w:val="Document Map"/>
    <w:basedOn w:val="Normal"/>
    <w:semiHidden/>
    <w:rsid w:val="00E00D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A23DB3"/>
    <w:rPr>
      <w:sz w:val="20"/>
      <w:szCs w:val="20"/>
    </w:rPr>
  </w:style>
  <w:style w:type="character" w:styleId="FootnoteReference">
    <w:name w:val="footnote reference"/>
    <w:semiHidden/>
    <w:rsid w:val="00A23DB3"/>
    <w:rPr>
      <w:vertAlign w:val="superscript"/>
    </w:rPr>
  </w:style>
  <w:style w:type="table" w:styleId="TableGrid">
    <w:name w:val="Table Grid"/>
    <w:basedOn w:val="TableNormal"/>
    <w:uiPriority w:val="59"/>
    <w:locked/>
    <w:rsid w:val="003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809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5D0F7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85231"/>
    <w:rPr>
      <w:rFonts w:cs="Times New Roman"/>
    </w:rPr>
  </w:style>
  <w:style w:type="paragraph" w:styleId="Footer">
    <w:name w:val="footer"/>
    <w:basedOn w:val="Normal"/>
    <w:link w:val="FooterChar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85231"/>
    <w:rPr>
      <w:rFonts w:cs="Times New Roman"/>
    </w:rPr>
  </w:style>
  <w:style w:type="paragraph" w:styleId="NormalWeb">
    <w:name w:val="Normal (Web)"/>
    <w:basedOn w:val="Normal"/>
    <w:rsid w:val="003E16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6B42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4203"/>
    <w:rPr>
      <w:sz w:val="16"/>
      <w:szCs w:val="16"/>
    </w:rPr>
  </w:style>
  <w:style w:type="paragraph" w:styleId="CommentText">
    <w:name w:val="annotation text"/>
    <w:basedOn w:val="Normal"/>
    <w:semiHidden/>
    <w:rsid w:val="006B4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203"/>
    <w:rPr>
      <w:b/>
      <w:bCs/>
    </w:rPr>
  </w:style>
  <w:style w:type="paragraph" w:styleId="DocumentMap">
    <w:name w:val="Document Map"/>
    <w:basedOn w:val="Normal"/>
    <w:semiHidden/>
    <w:rsid w:val="00E00D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A23DB3"/>
    <w:rPr>
      <w:sz w:val="20"/>
      <w:szCs w:val="20"/>
    </w:rPr>
  </w:style>
  <w:style w:type="character" w:styleId="FootnoteReference">
    <w:name w:val="footnote reference"/>
    <w:semiHidden/>
    <w:rsid w:val="00A23DB3"/>
    <w:rPr>
      <w:vertAlign w:val="superscript"/>
    </w:rPr>
  </w:style>
  <w:style w:type="table" w:styleId="TableGrid">
    <w:name w:val="Table Grid"/>
    <w:basedOn w:val="TableNormal"/>
    <w:uiPriority w:val="59"/>
    <w:locked/>
    <w:rsid w:val="003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4BE4-9B77-4235-882B-4E1E32E0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Board meeting – 11th February 2011</vt:lpstr>
    </vt:vector>
  </TitlesOfParts>
  <Company>Hewlett-Packard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Board meeting – 11th February 2011</dc:title>
  <dc:creator>Marai Larasi</dc:creator>
  <cp:lastModifiedBy>Minnaar, Jo</cp:lastModifiedBy>
  <cp:revision>2</cp:revision>
  <cp:lastPrinted>2018-01-10T10:25:00Z</cp:lastPrinted>
  <dcterms:created xsi:type="dcterms:W3CDTF">2018-04-12T11:02:00Z</dcterms:created>
  <dcterms:modified xsi:type="dcterms:W3CDTF">2018-04-12T11:02:00Z</dcterms:modified>
</cp:coreProperties>
</file>